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8908E2F" w14:textId="77777777" w:rsidR="00C12333" w:rsidRPr="00C12333" w:rsidRDefault="00C12333" w:rsidP="00C12333">
      <w:pPr>
        <w:rPr>
          <w:rStyle w:val="Strong"/>
        </w:rPr>
      </w:pPr>
      <w:r w:rsidRPr="00C12333">
        <w:rPr>
          <w:rStyle w:val="Strong"/>
        </w:rPr>
        <w:t xml:space="preserve">Supplementary Material for: The scale of climate change migration: An overview of projections and a case for attribution </w:t>
      </w:r>
    </w:p>
    <w:p w14:paraId="001FC328" w14:textId="3CE66909" w:rsidR="00D31799" w:rsidRDefault="00D31799" w:rsidP="00C12333">
      <w:pPr>
        <w:pStyle w:val="Heading1"/>
      </w:pPr>
      <w:r>
        <w:t>Global figures</w:t>
      </w:r>
    </w:p>
    <w:p w14:paraId="6E5849A5" w14:textId="4C0E34CE" w:rsidR="00D31799" w:rsidRDefault="00D31799" w:rsidP="00D31799"/>
    <w:p w14:paraId="5D7DC512" w14:textId="1703BD9E" w:rsidR="00D31799" w:rsidRDefault="00D31799" w:rsidP="00D31799">
      <w:pPr>
        <w:pStyle w:val="Caption"/>
        <w:keepNext/>
      </w:pPr>
      <w:bookmarkStart w:id="0" w:name="_Ref177468652"/>
      <w:bookmarkStart w:id="1" w:name="_Hlk193189003"/>
      <w:r>
        <w:rPr>
          <w:b/>
        </w:rPr>
        <w:t>Table S</w:t>
      </w:r>
      <w:r>
        <w:fldChar w:fldCharType="begin"/>
      </w:r>
      <w:r>
        <w:rPr>
          <w:b/>
        </w:rPr>
        <w:instrText xml:space="preserve"> SEQ Table \* ARABIC </w:instrText>
      </w:r>
      <w:r>
        <w:fldChar w:fldCharType="separate"/>
      </w:r>
      <w:r>
        <w:rPr>
          <w:b/>
          <w:noProof/>
        </w:rPr>
        <w:t>1</w:t>
      </w:r>
      <w:r>
        <w:fldChar w:fldCharType="end"/>
      </w:r>
      <w:bookmarkEnd w:id="0"/>
      <w:r>
        <w:rPr>
          <w:b/>
        </w:rPr>
        <w:t>:</w:t>
      </w:r>
      <w:r>
        <w:t xml:space="preserve"> As Table 1 in the main paper but for global migration, </w:t>
      </w:r>
      <w:r w:rsidR="00C60119">
        <w:t>for the studies with global scope</w:t>
      </w:r>
      <w:r>
        <w:t xml:space="preserve">. The global figures can be smaller than the figures for Africa </w:t>
      </w:r>
      <w:r w:rsidR="00C60119">
        <w:t xml:space="preserve">from the same study </w:t>
      </w:r>
      <w:r>
        <w:t xml:space="preserve">because increases in one region and decreases in another region cancel out in the global aggregate. </w:t>
      </w:r>
    </w:p>
    <w:tbl>
      <w:tblPr>
        <w:tblStyle w:val="TableGrid"/>
        <w:tblW w:w="0" w:type="auto"/>
        <w:tblInd w:w="0" w:type="dxa"/>
        <w:tblLook w:val="04A0" w:firstRow="1" w:lastRow="0" w:firstColumn="1" w:lastColumn="0" w:noHBand="0" w:noVBand="1"/>
      </w:tblPr>
      <w:tblGrid>
        <w:gridCol w:w="1410"/>
        <w:gridCol w:w="1358"/>
        <w:gridCol w:w="1435"/>
        <w:gridCol w:w="1232"/>
        <w:gridCol w:w="1188"/>
        <w:gridCol w:w="1470"/>
        <w:gridCol w:w="1303"/>
      </w:tblGrid>
      <w:tr w:rsidR="00D31799" w14:paraId="643D7242" w14:textId="77777777" w:rsidTr="00D31799">
        <w:tc>
          <w:tcPr>
            <w:tcW w:w="1358" w:type="dxa"/>
            <w:tcBorders>
              <w:top w:val="single" w:sz="4" w:space="0" w:color="auto"/>
              <w:left w:val="single" w:sz="4" w:space="0" w:color="auto"/>
              <w:bottom w:val="single" w:sz="4" w:space="0" w:color="auto"/>
              <w:right w:val="single" w:sz="4" w:space="0" w:color="auto"/>
            </w:tcBorders>
            <w:hideMark/>
          </w:tcPr>
          <w:p w14:paraId="3CFE27F2" w14:textId="253C2168" w:rsidR="00D31799" w:rsidRDefault="00D31799">
            <w:pPr>
              <w:rPr>
                <w:b/>
              </w:rPr>
            </w:pPr>
            <w:r>
              <w:rPr>
                <w:b/>
              </w:rPr>
              <w:t>Model* (</w:t>
            </w:r>
            <w:r>
              <w:rPr>
                <w:b/>
                <w:i/>
                <w:iCs/>
              </w:rPr>
              <w:t>scope</w:t>
            </w:r>
            <w:r w:rsidR="003C67C8">
              <w:rPr>
                <w:b/>
                <w:i/>
                <w:iCs/>
              </w:rPr>
              <w:t>; notes</w:t>
            </w:r>
            <w:r>
              <w:rPr>
                <w:b/>
              </w:rPr>
              <w:t>)</w:t>
            </w:r>
          </w:p>
        </w:tc>
        <w:tc>
          <w:tcPr>
            <w:tcW w:w="1358" w:type="dxa"/>
            <w:tcBorders>
              <w:top w:val="single" w:sz="4" w:space="0" w:color="auto"/>
              <w:left w:val="single" w:sz="4" w:space="0" w:color="auto"/>
              <w:bottom w:val="single" w:sz="4" w:space="0" w:color="auto"/>
              <w:right w:val="single" w:sz="4" w:space="0" w:color="auto"/>
            </w:tcBorders>
            <w:hideMark/>
          </w:tcPr>
          <w:p w14:paraId="7D4F31AC" w14:textId="77777777" w:rsidR="00D31799" w:rsidRDefault="00D31799">
            <w:pPr>
              <w:rPr>
                <w:b/>
              </w:rPr>
            </w:pPr>
            <w:r>
              <w:rPr>
                <w:b/>
              </w:rPr>
              <w:t>Approach</w:t>
            </w:r>
          </w:p>
        </w:tc>
        <w:tc>
          <w:tcPr>
            <w:tcW w:w="1438" w:type="dxa"/>
            <w:tcBorders>
              <w:top w:val="single" w:sz="4" w:space="0" w:color="auto"/>
              <w:left w:val="single" w:sz="4" w:space="0" w:color="auto"/>
              <w:bottom w:val="single" w:sz="4" w:space="0" w:color="auto"/>
              <w:right w:val="single" w:sz="4" w:space="0" w:color="auto"/>
            </w:tcBorders>
            <w:hideMark/>
          </w:tcPr>
          <w:p w14:paraId="62318D9E" w14:textId="77777777" w:rsidR="00D31799" w:rsidRDefault="00D31799">
            <w:pPr>
              <w:rPr>
                <w:b/>
              </w:rPr>
            </w:pPr>
            <w:r>
              <w:rPr>
                <w:b/>
              </w:rPr>
              <w:t>Climate measures</w:t>
            </w:r>
          </w:p>
        </w:tc>
        <w:tc>
          <w:tcPr>
            <w:tcW w:w="1234" w:type="dxa"/>
            <w:tcBorders>
              <w:top w:val="single" w:sz="4" w:space="0" w:color="auto"/>
              <w:left w:val="single" w:sz="4" w:space="0" w:color="auto"/>
              <w:bottom w:val="single" w:sz="4" w:space="0" w:color="auto"/>
              <w:right w:val="single" w:sz="4" w:space="0" w:color="auto"/>
            </w:tcBorders>
            <w:hideMark/>
          </w:tcPr>
          <w:p w14:paraId="2212C33D" w14:textId="77777777" w:rsidR="00D31799" w:rsidRDefault="00D31799">
            <w:pPr>
              <w:rPr>
                <w:b/>
              </w:rPr>
            </w:pPr>
            <w:r>
              <w:rPr>
                <w:b/>
              </w:rPr>
              <w:t>Calibration</w:t>
            </w:r>
          </w:p>
        </w:tc>
        <w:tc>
          <w:tcPr>
            <w:tcW w:w="1192" w:type="dxa"/>
            <w:tcBorders>
              <w:top w:val="single" w:sz="4" w:space="0" w:color="auto"/>
              <w:left w:val="single" w:sz="4" w:space="0" w:color="auto"/>
              <w:bottom w:val="single" w:sz="4" w:space="0" w:color="auto"/>
              <w:right w:val="single" w:sz="4" w:space="0" w:color="auto"/>
            </w:tcBorders>
            <w:hideMark/>
          </w:tcPr>
          <w:p w14:paraId="44D8B0A9" w14:textId="77777777" w:rsidR="00D31799" w:rsidRDefault="00D31799">
            <w:pPr>
              <w:rPr>
                <w:b/>
              </w:rPr>
            </w:pPr>
            <w:r>
              <w:rPr>
                <w:b/>
              </w:rPr>
              <w:t>Validation</w:t>
            </w:r>
          </w:p>
        </w:tc>
        <w:tc>
          <w:tcPr>
            <w:tcW w:w="1470" w:type="dxa"/>
            <w:tcBorders>
              <w:top w:val="single" w:sz="4" w:space="0" w:color="auto"/>
              <w:left w:val="single" w:sz="4" w:space="0" w:color="auto"/>
              <w:bottom w:val="single" w:sz="4" w:space="0" w:color="auto"/>
              <w:right w:val="single" w:sz="4" w:space="0" w:color="auto"/>
            </w:tcBorders>
            <w:hideMark/>
          </w:tcPr>
          <w:p w14:paraId="47FE1165" w14:textId="3AEAB148" w:rsidR="00D31799" w:rsidRDefault="00D31799">
            <w:pPr>
              <w:rPr>
                <w:b/>
              </w:rPr>
            </w:pPr>
            <w:r>
              <w:rPr>
                <w:b/>
              </w:rPr>
              <w:t xml:space="preserve">Results international: global </w:t>
            </w:r>
          </w:p>
        </w:tc>
        <w:tc>
          <w:tcPr>
            <w:tcW w:w="1346" w:type="dxa"/>
            <w:tcBorders>
              <w:top w:val="single" w:sz="4" w:space="0" w:color="auto"/>
              <w:left w:val="single" w:sz="4" w:space="0" w:color="auto"/>
              <w:bottom w:val="single" w:sz="4" w:space="0" w:color="auto"/>
              <w:right w:val="single" w:sz="4" w:space="0" w:color="auto"/>
            </w:tcBorders>
            <w:hideMark/>
          </w:tcPr>
          <w:p w14:paraId="78EE2CE6" w14:textId="07835FA1" w:rsidR="00D31799" w:rsidRDefault="00D31799">
            <w:pPr>
              <w:rPr>
                <w:b/>
              </w:rPr>
            </w:pPr>
            <w:r>
              <w:rPr>
                <w:b/>
              </w:rPr>
              <w:t>Results internal: global</w:t>
            </w:r>
          </w:p>
        </w:tc>
      </w:tr>
      <w:tr w:rsidR="00D31799" w14:paraId="72CB4440" w14:textId="77777777" w:rsidTr="00D31799">
        <w:tc>
          <w:tcPr>
            <w:tcW w:w="9396" w:type="dxa"/>
            <w:gridSpan w:val="7"/>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24552DD0" w14:textId="77777777" w:rsidR="00D31799" w:rsidRDefault="00D31799">
            <w:pPr>
              <w:jc w:val="center"/>
              <w:rPr>
                <w:i/>
              </w:rPr>
            </w:pPr>
            <w:r>
              <w:rPr>
                <w:i/>
              </w:rPr>
              <w:t>Projections (ca. 2050, RCP6.0-RCP8.5, cumulative, rounded, in millions)</w:t>
            </w:r>
          </w:p>
        </w:tc>
      </w:tr>
      <w:tr w:rsidR="00D31799" w14:paraId="380E5AFB" w14:textId="77777777" w:rsidTr="00D31799">
        <w:tc>
          <w:tcPr>
            <w:tcW w:w="9396" w:type="dxa"/>
            <w:gridSpan w:val="7"/>
            <w:tcBorders>
              <w:top w:val="single" w:sz="4" w:space="0" w:color="auto"/>
              <w:left w:val="single" w:sz="4" w:space="0" w:color="auto"/>
              <w:bottom w:val="single" w:sz="4" w:space="0" w:color="auto"/>
              <w:right w:val="single" w:sz="4" w:space="0" w:color="auto"/>
            </w:tcBorders>
            <w:hideMark/>
          </w:tcPr>
          <w:p w14:paraId="7B063439" w14:textId="77777777" w:rsidR="00D31799" w:rsidRDefault="00D31799">
            <w:pPr>
              <w:rPr>
                <w:i/>
              </w:rPr>
            </w:pPr>
            <w:r>
              <w:rPr>
                <w:i/>
              </w:rPr>
              <w:t>System-wide models</w:t>
            </w:r>
          </w:p>
        </w:tc>
      </w:tr>
      <w:tr w:rsidR="00D31799" w14:paraId="0B836D8E" w14:textId="77777777" w:rsidTr="00B76028">
        <w:trPr>
          <w:trHeight w:val="2148"/>
        </w:trPr>
        <w:tc>
          <w:tcPr>
            <w:tcW w:w="1358" w:type="dxa"/>
            <w:tcBorders>
              <w:top w:val="single" w:sz="4" w:space="0" w:color="auto"/>
              <w:left w:val="single" w:sz="4" w:space="0" w:color="auto"/>
              <w:bottom w:val="single" w:sz="4" w:space="0" w:color="auto"/>
              <w:right w:val="single" w:sz="4" w:space="0" w:color="auto"/>
            </w:tcBorders>
            <w:hideMark/>
          </w:tcPr>
          <w:p w14:paraId="19C514CB" w14:textId="721167F1" w:rsidR="00D31799" w:rsidRDefault="00D31799">
            <w:proofErr w:type="spellStart"/>
            <w:r>
              <w:t>Burzyński</w:t>
            </w:r>
            <w:proofErr w:type="spellEnd"/>
            <w:r>
              <w:t xml:space="preserve"> et al. </w:t>
            </w:r>
            <w:r>
              <w:fldChar w:fldCharType="begin" w:fldLock="1"/>
            </w:r>
            <w:r>
              <w:instrText xml:space="preserve"> ADDIN ZOTERO_ITEM CSL_CITATION {"citationID":"9pGI4eSO","properties":{"formattedCitation":"(2022)","plainCitation":"(2022)","noteIndex":0},"citationItems":[{"id":4461,"uris":["http://www.mendeley.com/documents/?uuid=6a6e4d5e-6cab-4c7f-b94a-2cba4f8a0b77","http://zotero.org/users/local/eKHIbq9c/items/7IG96KKQ","http://zotero.org/users/16538746/items/7IG96KKQ"],"itemData":{"id":4461,"type":"article-journal","abstract":"This paper investigates the long-term implications of climate change on global migration and inequality. Accounting for the effects of changing temperatures, sea levels, and the frequency and intensity of natural disasters, we model the impact of climate change on productivity and utility in a dynamic general equilibrium framework. By endogenizing people’s migration decisions across millions of $5 \\times 5$ km spatial cells, our approach sheds light on the magnitude and dyadic, education-specific structure of human migration induced by global warming. We find that climate change strongly intensifies global inequality and poverty, reinforces urbanization, and boosts migration from low- to high-latitude areas. Median projections suggest that climate change will induce a voluntary and a forced permanent relocation of 62 million working-age individuals over the course of the 21st century. Overall, under current international migration laws and policies, only a small fraction of people suffering from the negative effects of climate change manages to move beyond their homelands. We conclude that it is unlikely that climate shocks will induce massive international flows of migrants, except under combined extremely pessimistic climate scenarios and highly permissive migration policies. In contrast, poverty resulting from climate change is a real threat to all of us.","container-title":"Journal of the European Economic Association","DOI":"10.1093/jeea/jvab054","ISSN":"1542-4766","issue":"3","note":"Citation Key: Burzynski2022","page":"1145-1197","title":"Climate Change, Inequality, and Human Migration","volume":"20","author":[{"family":"Burzyński","given":"Michał"},{"family":"Deuster","given":"Christoph"},{"family":"Docquier","given":"Frédéric"},{"family":"Melo","given":"Jaime","non-dropping-particle":"de"}],"issued":{"date-parts":[["2022",6,14]]}},"suppress-author":true}],"schema":"https://github.com/citation-style-language/schema/raw/master/csl-citation.json"} </w:instrText>
            </w:r>
            <w:r>
              <w:fldChar w:fldCharType="separate"/>
            </w:r>
            <w:r>
              <w:rPr>
                <w:rFonts w:ascii="Calibri" w:hAnsi="Calibri" w:cs="Calibri"/>
              </w:rPr>
              <w:t>(2022)</w:t>
            </w:r>
            <w:r>
              <w:fldChar w:fldCharType="end"/>
            </w:r>
            <w:r>
              <w:t xml:space="preserve"> (</w:t>
            </w:r>
            <w:r>
              <w:rPr>
                <w:i/>
                <w:iCs/>
              </w:rPr>
              <w:t>global</w:t>
            </w:r>
            <w:r>
              <w:t>)</w:t>
            </w:r>
          </w:p>
        </w:tc>
        <w:tc>
          <w:tcPr>
            <w:tcW w:w="1358" w:type="dxa"/>
            <w:tcBorders>
              <w:top w:val="single" w:sz="4" w:space="0" w:color="auto"/>
              <w:left w:val="single" w:sz="4" w:space="0" w:color="auto"/>
              <w:bottom w:val="single" w:sz="4" w:space="0" w:color="auto"/>
              <w:right w:val="single" w:sz="4" w:space="0" w:color="auto"/>
            </w:tcBorders>
            <w:hideMark/>
          </w:tcPr>
          <w:p w14:paraId="38BB7FC5" w14:textId="77777777" w:rsidR="00D31799" w:rsidRDefault="00D31799">
            <w:r>
              <w:t>Economic general equilibrium model, RUM migration model</w:t>
            </w:r>
          </w:p>
        </w:tc>
        <w:tc>
          <w:tcPr>
            <w:tcW w:w="1438" w:type="dxa"/>
            <w:tcBorders>
              <w:top w:val="single" w:sz="4" w:space="0" w:color="auto"/>
              <w:left w:val="single" w:sz="4" w:space="0" w:color="auto"/>
              <w:bottom w:val="single" w:sz="4" w:space="0" w:color="auto"/>
              <w:right w:val="single" w:sz="4" w:space="0" w:color="auto"/>
            </w:tcBorders>
            <w:hideMark/>
          </w:tcPr>
          <w:p w14:paraId="0C21821C" w14:textId="77777777" w:rsidR="00D31799" w:rsidRDefault="00D31799">
            <w:r>
              <w:t>gradual change in temperature; floods, storms, droughts, heatwaves; sea-level rise</w:t>
            </w:r>
          </w:p>
        </w:tc>
        <w:tc>
          <w:tcPr>
            <w:tcW w:w="1234" w:type="dxa"/>
            <w:tcBorders>
              <w:top w:val="single" w:sz="4" w:space="0" w:color="auto"/>
              <w:left w:val="single" w:sz="4" w:space="0" w:color="auto"/>
              <w:bottom w:val="single" w:sz="4" w:space="0" w:color="auto"/>
              <w:right w:val="single" w:sz="4" w:space="0" w:color="auto"/>
            </w:tcBorders>
            <w:hideMark/>
          </w:tcPr>
          <w:p w14:paraId="7C8921F8" w14:textId="77777777" w:rsidR="00D31799" w:rsidRDefault="00D31799">
            <w:r>
              <w:t xml:space="preserve">DIOC-E, UNPD, IPUMS, </w:t>
            </w:r>
            <w:proofErr w:type="spellStart"/>
            <w:r>
              <w:t>WorldPop</w:t>
            </w:r>
            <w:proofErr w:type="spellEnd"/>
          </w:p>
        </w:tc>
        <w:tc>
          <w:tcPr>
            <w:tcW w:w="1192" w:type="dxa"/>
            <w:tcBorders>
              <w:top w:val="single" w:sz="4" w:space="0" w:color="auto"/>
              <w:left w:val="single" w:sz="4" w:space="0" w:color="auto"/>
              <w:bottom w:val="single" w:sz="4" w:space="0" w:color="auto"/>
              <w:right w:val="single" w:sz="4" w:space="0" w:color="auto"/>
            </w:tcBorders>
            <w:hideMark/>
          </w:tcPr>
          <w:p w14:paraId="33E910F8" w14:textId="77777777" w:rsidR="00D31799" w:rsidRDefault="00D31799">
            <w:r>
              <w:t>-</w:t>
            </w:r>
          </w:p>
        </w:tc>
        <w:tc>
          <w:tcPr>
            <w:tcW w:w="1470" w:type="dxa"/>
            <w:tcBorders>
              <w:top w:val="single" w:sz="4" w:space="0" w:color="auto"/>
              <w:left w:val="single" w:sz="4" w:space="0" w:color="auto"/>
              <w:right w:val="single" w:sz="4" w:space="0" w:color="auto"/>
            </w:tcBorders>
            <w:hideMark/>
          </w:tcPr>
          <w:p w14:paraId="0F3CC6E6" w14:textId="77777777" w:rsidR="00D31799" w:rsidRDefault="00D31799">
            <w:r>
              <w:t>+12 to +29</w:t>
            </w:r>
          </w:p>
        </w:tc>
        <w:tc>
          <w:tcPr>
            <w:tcW w:w="1346" w:type="dxa"/>
            <w:tcBorders>
              <w:top w:val="single" w:sz="4" w:space="0" w:color="auto"/>
              <w:left w:val="single" w:sz="4" w:space="0" w:color="auto"/>
              <w:right w:val="single" w:sz="4" w:space="0" w:color="auto"/>
            </w:tcBorders>
            <w:hideMark/>
          </w:tcPr>
          <w:p w14:paraId="29A72000" w14:textId="77777777" w:rsidR="00D31799" w:rsidRDefault="00D31799">
            <w:r>
              <w:t>0 to +9</w:t>
            </w:r>
          </w:p>
        </w:tc>
      </w:tr>
      <w:tr w:rsidR="00D31799" w14:paraId="2624F588" w14:textId="77777777" w:rsidTr="00C77ABA">
        <w:trPr>
          <w:trHeight w:val="1880"/>
        </w:trPr>
        <w:tc>
          <w:tcPr>
            <w:tcW w:w="1358" w:type="dxa"/>
            <w:tcBorders>
              <w:top w:val="single" w:sz="4" w:space="0" w:color="auto"/>
              <w:left w:val="single" w:sz="4" w:space="0" w:color="auto"/>
              <w:bottom w:val="single" w:sz="4" w:space="0" w:color="auto"/>
              <w:right w:val="single" w:sz="4" w:space="0" w:color="auto"/>
            </w:tcBorders>
            <w:hideMark/>
          </w:tcPr>
          <w:p w14:paraId="6C7028F8" w14:textId="047CB928" w:rsidR="00D31799" w:rsidRPr="002C2893" w:rsidRDefault="00D31799">
            <w:pPr>
              <w:rPr>
                <w:i/>
                <w:iCs/>
              </w:rPr>
            </w:pPr>
            <w:r>
              <w:rPr>
                <w:rFonts w:ascii="Calibri" w:hAnsi="Calibri" w:cs="Calibri"/>
              </w:rPr>
              <w:t>Smirnov et al.</w:t>
            </w:r>
            <w:r>
              <w:t xml:space="preserve"> </w:t>
            </w:r>
            <w:r>
              <w:fldChar w:fldCharType="begin" w:fldLock="1"/>
            </w:r>
            <w:r>
              <w:instrText xml:space="preserve"> ADDIN ZOTERO_ITEM CSL_CITATION {"citationID":"aWbjAKkp","properties":{"formattedCitation":"(2022)","plainCitation":"(2022)","noteIndex":0},"citationItems":[{"id":9000,"uris":["http://www.mendeley.com/documents/?uuid=2169129e-9d1d-459d-848d-c3b7fd0da115","http://zotero.org/users/local/eKHIbq9c/items/H68IHJ5V","http://zotero.org/users/16538746/items/H68IHJ5V"],"itemData":{"id":9000,"type":"article-journal","abstract":"Unmitigated climate change will likely produce major problems for human populations worldwide. Although many researchers and policy-makers believe that drought may be an important “push” factor underlying migration in the future, the precise relationship between drought and migration remains unclear. This article models the potential scope of such movements for the emissions policy choices facing all nation-states today. Applying insights from climate science and computational modeling to migration research, we examine the likely surge of drought-induced migration and assess the prospects of different policy scenarios to mitigate involuntary displacement. Using an ensemble of 16 climate models in conjunction with high-resolution geospatial population data and different policy scenarios, we generate drought projections worldwide and estimate the potential for internal and international population movement due to extreme droughts through the remainder of the 21 st century. Our simulations suggest that a potential for drought-induced migration increases by approximately 200 percent under the current international policy scenario (corresponding to the current Paris Agreement targets). In contrast, total migration increases by almost 500 percent, should current international cooperation fail and should unrestricted policies toward greenhouse gas emissions prevail. We argue that despite the continued growth projections of drought-induced migration in all cases, international cooperation on climate change can substantially reduce the global potential for such migration, in contrast to unilateral policy approaches to energy demands. This article highlights the importance of modeling future environmental migrations, in order to manage the pressures and unprecedented policy challenges which are expected to dramatically increase under conditions of unmitigated climate change.","container-title":"International Migration Review","DOI":"10.1177/01979183221079850","ISSN":"0197-9183","issue":"1","note":"Citation Key: Smirnov2022","page":"019791832210798","title":"Climate Change, Drought, and Potential Environmental Migration Flows Under Different Policy Scenarios","volume":"57","author":[{"family":"Smirnov","given":"Oleg"},{"family":"Lahav","given":"Gallya"},{"family":"Orbell","given":"John"},{"family":"Zhang","given":"Minghua"},{"family":"Xiao","given":"Tingyin"}],"issued":{"date-parts":[["2022",4,7]]}},"suppress-author":true}],"schema":"https://github.com/citation-style-language/schema/raw/master/csl-citation.json"} </w:instrText>
            </w:r>
            <w:r>
              <w:fldChar w:fldCharType="separate"/>
            </w:r>
            <w:r>
              <w:rPr>
                <w:rFonts w:ascii="Calibri" w:hAnsi="Calibri" w:cs="Calibri"/>
              </w:rPr>
              <w:t>(2022)</w:t>
            </w:r>
            <w:r>
              <w:fldChar w:fldCharType="end"/>
            </w:r>
            <w:r>
              <w:t xml:space="preserve"> (</w:t>
            </w:r>
            <w:r>
              <w:rPr>
                <w:i/>
                <w:iCs/>
              </w:rPr>
              <w:t>global</w:t>
            </w:r>
            <w:r w:rsidR="003C67C8">
              <w:rPr>
                <w:i/>
                <w:iCs/>
              </w:rPr>
              <w:t xml:space="preserve">; </w:t>
            </w:r>
            <w:r w:rsidRPr="002C2893">
              <w:rPr>
                <w:i/>
                <w:iCs/>
              </w:rPr>
              <w:t>end of 21st century, RCP8.5 vs. RCP4.5**</w:t>
            </w:r>
            <w:r w:rsidR="003C67C8">
              <w:rPr>
                <w:i/>
                <w:iCs/>
              </w:rPr>
              <w:t>)</w:t>
            </w:r>
          </w:p>
        </w:tc>
        <w:tc>
          <w:tcPr>
            <w:tcW w:w="1358" w:type="dxa"/>
            <w:tcBorders>
              <w:top w:val="single" w:sz="4" w:space="0" w:color="auto"/>
              <w:left w:val="single" w:sz="4" w:space="0" w:color="auto"/>
              <w:bottom w:val="single" w:sz="4" w:space="0" w:color="auto"/>
              <w:right w:val="single" w:sz="4" w:space="0" w:color="auto"/>
            </w:tcBorders>
            <w:hideMark/>
          </w:tcPr>
          <w:p w14:paraId="25E0B42C" w14:textId="77777777" w:rsidR="00D31799" w:rsidRDefault="00D31799">
            <w:r>
              <w:t>Agent-based satisficing model</w:t>
            </w:r>
          </w:p>
        </w:tc>
        <w:tc>
          <w:tcPr>
            <w:tcW w:w="1438" w:type="dxa"/>
            <w:tcBorders>
              <w:top w:val="single" w:sz="4" w:space="0" w:color="auto"/>
              <w:left w:val="single" w:sz="4" w:space="0" w:color="auto"/>
              <w:bottom w:val="single" w:sz="4" w:space="0" w:color="auto"/>
              <w:right w:val="single" w:sz="4" w:space="0" w:color="auto"/>
            </w:tcBorders>
            <w:hideMark/>
          </w:tcPr>
          <w:p w14:paraId="386CBC0D" w14:textId="77777777" w:rsidR="00D31799" w:rsidRDefault="00D31799">
            <w:r>
              <w:t>drought</w:t>
            </w:r>
          </w:p>
        </w:tc>
        <w:tc>
          <w:tcPr>
            <w:tcW w:w="1234" w:type="dxa"/>
            <w:tcBorders>
              <w:top w:val="single" w:sz="4" w:space="0" w:color="auto"/>
              <w:left w:val="single" w:sz="4" w:space="0" w:color="auto"/>
              <w:bottom w:val="single" w:sz="4" w:space="0" w:color="auto"/>
              <w:right w:val="single" w:sz="4" w:space="0" w:color="auto"/>
            </w:tcBorders>
            <w:hideMark/>
          </w:tcPr>
          <w:p w14:paraId="3E76FDD0" w14:textId="77777777" w:rsidR="00D31799" w:rsidRDefault="00D31799">
            <w:r>
              <w:t xml:space="preserve">- </w:t>
            </w:r>
          </w:p>
        </w:tc>
        <w:tc>
          <w:tcPr>
            <w:tcW w:w="1192" w:type="dxa"/>
            <w:tcBorders>
              <w:top w:val="single" w:sz="4" w:space="0" w:color="auto"/>
              <w:left w:val="single" w:sz="4" w:space="0" w:color="auto"/>
              <w:bottom w:val="single" w:sz="4" w:space="0" w:color="auto"/>
              <w:right w:val="single" w:sz="4" w:space="0" w:color="auto"/>
            </w:tcBorders>
            <w:hideMark/>
          </w:tcPr>
          <w:p w14:paraId="75F3EC27" w14:textId="77777777" w:rsidR="00D31799" w:rsidRDefault="00D31799">
            <w:r>
              <w:t>-</w:t>
            </w:r>
          </w:p>
        </w:tc>
        <w:tc>
          <w:tcPr>
            <w:tcW w:w="1470" w:type="dxa"/>
            <w:tcBorders>
              <w:top w:val="single" w:sz="4" w:space="0" w:color="auto"/>
              <w:left w:val="single" w:sz="4" w:space="0" w:color="auto"/>
              <w:right w:val="single" w:sz="4" w:space="0" w:color="auto"/>
            </w:tcBorders>
            <w:hideMark/>
          </w:tcPr>
          <w:p w14:paraId="29B77AF9" w14:textId="77777777" w:rsidR="00D31799" w:rsidRDefault="00D31799">
            <w:r>
              <w:t>&gt;+10</w:t>
            </w:r>
          </w:p>
        </w:tc>
        <w:tc>
          <w:tcPr>
            <w:tcW w:w="1346" w:type="dxa"/>
            <w:tcBorders>
              <w:top w:val="single" w:sz="4" w:space="0" w:color="auto"/>
              <w:left w:val="single" w:sz="4" w:space="0" w:color="auto"/>
              <w:right w:val="single" w:sz="4" w:space="0" w:color="auto"/>
            </w:tcBorders>
            <w:hideMark/>
          </w:tcPr>
          <w:p w14:paraId="7EF55E06" w14:textId="77777777" w:rsidR="00D31799" w:rsidRDefault="00D31799">
            <w:pPr>
              <w:rPr>
                <w:i/>
              </w:rPr>
            </w:pPr>
            <w:r>
              <w:rPr>
                <w:iCs/>
              </w:rPr>
              <w:t>&gt;+13</w:t>
            </w:r>
          </w:p>
        </w:tc>
      </w:tr>
      <w:tr w:rsidR="00D31799" w14:paraId="1D07BE5E" w14:textId="77777777" w:rsidTr="004D4E27">
        <w:trPr>
          <w:trHeight w:val="2148"/>
        </w:trPr>
        <w:tc>
          <w:tcPr>
            <w:tcW w:w="1358" w:type="dxa"/>
            <w:tcBorders>
              <w:top w:val="single" w:sz="4" w:space="0" w:color="auto"/>
              <w:left w:val="single" w:sz="4" w:space="0" w:color="auto"/>
              <w:bottom w:val="single" w:sz="4" w:space="0" w:color="auto"/>
              <w:right w:val="single" w:sz="4" w:space="0" w:color="auto"/>
            </w:tcBorders>
            <w:hideMark/>
          </w:tcPr>
          <w:p w14:paraId="5F4D1F4D" w14:textId="77777777" w:rsidR="00D31799" w:rsidRDefault="00D31799">
            <w:r w:rsidRPr="002C2893">
              <w:rPr>
                <w:rFonts w:ascii="Calibri" w:hAnsi="Calibri" w:cs="Calibri"/>
                <w:lang w:val="de-DE"/>
              </w:rPr>
              <w:t xml:space="preserve">Rikani et al. </w:t>
            </w:r>
            <w:r>
              <w:fldChar w:fldCharType="begin"/>
            </w:r>
            <w:r w:rsidRPr="002C2893">
              <w:rPr>
                <w:rFonts w:ascii="Calibri" w:hAnsi="Calibri" w:cs="Calibri"/>
                <w:lang w:val="de-DE"/>
              </w:rPr>
              <w:instrText xml:space="preserve"> ADDIN ZOTERO_ITEM CSL_CITATION {"citationID":"8TwEj952","properties":{"formattedCitation":"(2022)","plainCitation":"(2022)","noteIndex":0},"citationItems":[{"id":6196,"uris":["http://zotero.org/users/16538746/items/8GEIP86M"],"itemData":{"id":6196,"type":"article-journal","abstract":"International migration patterns, at the global level, can to a large extent be explained through economic factors in origin and destination countries. On the other hand, it has been shown that global climate change is likely to affect economic development over the coming decades. Here, we demonstrate how these future climate impacts on national income levels could alter the global migration landscape. Using an empirically calibrated global migration model, we investigate two separate mechanisms. The first is through destination-country income, which has been shown consistently to have a positive effect on immigration. As countries’ income levels relative to each other are projected to change in the future both due to different rates of economic growth and due to different levels of climate change impacts, the relative distribution of immigration across destination countries also changes as a result, all else being equal. Second, emigration rates have been found to have a complex, inverted U-shaped dependence on origin-country income. Given the available migration flow data, it is unclear whether this dependence—found</w:instrText>
            </w:r>
            <w:r>
              <w:rPr>
                <w:rFonts w:ascii="Calibri" w:hAnsi="Calibri" w:cs="Calibri"/>
                <w:lang w:val="de-DE"/>
              </w:rPr>
              <w:instrText xml:space="preserve"> in spatio-temporal panel data—also pertains to changes in a given migration flow over time. If it does, then climate change will additionally affect migration patterns through origin countries’ emigration rates, as the relative and absolute positions of countries on the migration “hump” change. We illustrate these different possibilities, and the corresponding effects of 3°C global warming (above pre-industrial) on global migration patterns, using climate model projections and two different methods for estimating climate change effects on macroeconomic development.","container-title":"PLOS ONE","DOI":"10.1371/journal.pone.0276764","ISSN":"1932-6203","issue":"11","note":"PMID: 36383529\nCitation Key: Rikani2022\nISBN: 1111111111","page":"e0276764","title":"Climate change and international migration: Exploring the macroeconomic channel","volume":"17","author":[{"family":"Rikani","given":"Albano"},{"family":"Frieler","given":"Katja"},{"family":"Schewe","given":"Jacob"}],"editor":[{"family":"De Benedictis","given":"Luca"}],"issued":{"date-parts":[["2022",11,16]]}},"suppress-author":true}],"schema":"https://github.com/citation-style-language/schema/raw/master/csl-citation.json"} </w:instrText>
            </w:r>
            <w:r>
              <w:fldChar w:fldCharType="separate"/>
            </w:r>
            <w:r>
              <w:rPr>
                <w:rFonts w:ascii="Calibri" w:hAnsi="Calibri" w:cs="Calibri"/>
                <w:lang w:val="de-DE"/>
              </w:rPr>
              <w:t>(2022)</w:t>
            </w:r>
            <w:r>
              <w:fldChar w:fldCharType="end"/>
            </w:r>
            <w:r>
              <w:rPr>
                <w:rFonts w:ascii="Calibri" w:hAnsi="Calibri" w:cs="Calibri"/>
                <w:lang w:val="de-DE"/>
              </w:rPr>
              <w:t xml:space="preserve">; </w:t>
            </w:r>
            <w:proofErr w:type="spellStart"/>
            <w:r>
              <w:rPr>
                <w:rFonts w:ascii="Calibri" w:hAnsi="Calibri" w:cs="Calibri"/>
                <w:lang w:val="de-DE"/>
              </w:rPr>
              <w:t>Rikani</w:t>
            </w:r>
            <w:proofErr w:type="spellEnd"/>
            <w:r>
              <w:rPr>
                <w:rFonts w:ascii="Calibri" w:hAnsi="Calibri" w:cs="Calibri"/>
                <w:lang w:val="de-DE"/>
              </w:rPr>
              <w:t xml:space="preserve"> &amp; Schewe </w:t>
            </w:r>
            <w:r>
              <w:fldChar w:fldCharType="begin" w:fldLock="1"/>
            </w:r>
            <w:r>
              <w:rPr>
                <w:lang w:val="de-DE"/>
              </w:rPr>
              <w:instrText xml:space="preserve"> ADDIN ZOTERO_ITEM CSL_CITATION {"citationID":"6fFbnkSv","properties":{"formattedCitation":"(2021)","plainCitation":"(2021)","noteIndex":0},"citationItems":[{"id":4506,"uris":["http://www.mendeley.com/documents/?uuid=5bc314ad-8f69-4b6a-9a35-f43d97782903","http://zotero.org/users/local/eKHIbq9c/items/XXZQYDSP","http://zotero.org/users/16538746/items/XXZQYDSP"],"itemData":{"id":4506,"type":"article-journal","abstract":"BACKGROUND Anticipating changes in international migration patterns is useful for demographic studies and for designing policies that support the well-being of those involved. Existing forecasting methods do not account for a number of stylized facts that emerge from large-scale migration observations and theories: existing migrant communities - diasporas - act to lower migration costs and thereby provide a mechanism of self-amplification; return migration and transit migration are important components of global migration flows; and poverty constrains emigration. OBJECTIVE Here we present hindcasts and future projections of international migration that explicitly account for these nonlinear features. METHODS We develop a dynamic model that simulates migration flows by origin, destination, and place of birth. We calibrate the model using recently constructed </w:instrText>
            </w:r>
            <w:r w:rsidRPr="002C2893">
              <w:instrText>global datasets of bilateral migration. RESULTS We show that the model reproduces past patterns and trends well based only on initial migrant stocks and changes in national incomes. W</w:instrText>
            </w:r>
            <w:r>
              <w:instrText xml:space="preserve">e then project migration flows under future scenarios of global socioeconomic development. CONCLUSIONS Different assumptions about income levels and between-country inequality lead to markedly different migration trajectories, with migration flows either converging towards net zero if incomes in presently poor countries catch up with the rest of the world; or remaining high or even rising throughout the 21st century if economic development is slower and more unequal. Importantly, diasporas induce significant inertia and sizable return migration flows. CONTRIBUTION Our simulation model provides a versatile tool for assessing the impacts of different socioeconomic futures on international migration, accounting for important nonlinearities in migration drivers and flows.","container-title":"Demographic Research","DOI":"10.4054/DemRes.2021.45.4","ISSN":"1435-9871","issue":"July","note":"Citation Key: Rikani2021","page":"87-140","title":"Global bilateral migration projections accounting for diasporas, transit and return </w:instrText>
            </w:r>
            <w:r>
              <w:rPr>
                <w:lang w:val="de-DE"/>
              </w:rPr>
              <w:instrText>ﬂ</w:instrText>
            </w:r>
            <w:r>
              <w:instrText xml:space="preserve">ows, and poverty constraints","volume":"45","author":[{"family":"Rikani","given":"Albano"},{"family":"Schewe","given":"Jacob"}],"issued":{"date-parts":[["2021",7,8]]}},"suppress-author":true}],"schema":"https://github.com/citation-style-language/schema/raw/master/csl-citation.json"} </w:instrText>
            </w:r>
            <w:r>
              <w:fldChar w:fldCharType="separate"/>
            </w:r>
            <w:r>
              <w:rPr>
                <w:rFonts w:ascii="Calibri" w:hAnsi="Calibri" w:cs="Calibri"/>
              </w:rPr>
              <w:t>(2021)</w:t>
            </w:r>
            <w:r>
              <w:fldChar w:fldCharType="end"/>
            </w:r>
          </w:p>
          <w:p w14:paraId="78972F4C" w14:textId="68DCCB97" w:rsidR="00D31799" w:rsidRDefault="00D31799">
            <w:r>
              <w:t>(</w:t>
            </w:r>
            <w:r>
              <w:rPr>
                <w:i/>
                <w:iCs/>
              </w:rPr>
              <w:t>global</w:t>
            </w:r>
            <w:r>
              <w:t>)</w:t>
            </w:r>
          </w:p>
        </w:tc>
        <w:tc>
          <w:tcPr>
            <w:tcW w:w="1358" w:type="dxa"/>
            <w:tcBorders>
              <w:top w:val="single" w:sz="4" w:space="0" w:color="auto"/>
              <w:left w:val="single" w:sz="4" w:space="0" w:color="auto"/>
              <w:bottom w:val="single" w:sz="4" w:space="0" w:color="auto"/>
              <w:right w:val="single" w:sz="4" w:space="0" w:color="auto"/>
            </w:tcBorders>
            <w:hideMark/>
          </w:tcPr>
          <w:p w14:paraId="5AFE6E91" w14:textId="77777777" w:rsidR="00D31799" w:rsidRDefault="00D31799">
            <w:r>
              <w:t>Nonlinear dynamic migration model; marginal effects of temperature on GDP</w:t>
            </w:r>
          </w:p>
        </w:tc>
        <w:tc>
          <w:tcPr>
            <w:tcW w:w="1438" w:type="dxa"/>
            <w:tcBorders>
              <w:top w:val="single" w:sz="4" w:space="0" w:color="auto"/>
              <w:left w:val="single" w:sz="4" w:space="0" w:color="auto"/>
              <w:bottom w:val="single" w:sz="4" w:space="0" w:color="auto"/>
              <w:right w:val="single" w:sz="4" w:space="0" w:color="auto"/>
            </w:tcBorders>
            <w:hideMark/>
          </w:tcPr>
          <w:p w14:paraId="6DE4A988" w14:textId="77777777" w:rsidR="00D31799" w:rsidRDefault="00D31799">
            <w:r>
              <w:t>gradual change in temperature</w:t>
            </w:r>
          </w:p>
        </w:tc>
        <w:tc>
          <w:tcPr>
            <w:tcW w:w="1234" w:type="dxa"/>
            <w:tcBorders>
              <w:top w:val="single" w:sz="4" w:space="0" w:color="auto"/>
              <w:left w:val="single" w:sz="4" w:space="0" w:color="auto"/>
              <w:bottom w:val="single" w:sz="4" w:space="0" w:color="auto"/>
              <w:right w:val="single" w:sz="4" w:space="0" w:color="auto"/>
            </w:tcBorders>
            <w:hideMark/>
          </w:tcPr>
          <w:p w14:paraId="7848C615" w14:textId="77777777" w:rsidR="00D31799" w:rsidRDefault="00D31799">
            <w:r>
              <w:fldChar w:fldCharType="begin" w:fldLock="1"/>
            </w:r>
            <w:r>
              <w:instrText xml:space="preserve"> ADDIN ZOTERO_ITEM CSL_CITATION {"citationID":"m6cnbXAQ","properties":{"formattedCitation":"(Abel &amp; Cohen, 2022)","plainCitation":"(Abel &amp; Cohen, 2022)","noteIndex":0},"citationItems":[{"id":4442,"uris":["http://www.mendeley.com/documents/?uuid=85110495-10b7-44d0-8716-ba03462fc289","http://zotero.org/users/local/eKHIbq9c/items/Q4R5DR3W","http://zotero.org/users/16538746/items/Q4R5DR3W"],"itemData":{"id":4442,"type":"article-journal","abstract":"Females and males often migrate at different rates. Official data on sex-specific international migration flows are missing for most countries, prohibiting comparative measures to identify and address inequalities. Here we use six methods to estimate male and female five-year bilateral migration flows between 200 countries from 1990 to 2020. We validate the estimates from each method through correlations of several migration measures with equivalent reported statistics in countries that collect flow data. We find that the Pseudo-Bayesian demographic accounting method performs consistently better than the other estimation methods for both female and male estimated flows. The estimates from all methods indicate a decline in the share of female migration flows from 1990–1995 to 2005–2010 followed by a recovery over the decade since 2010.","container-title":"Scientific Data","DOI":"10.1038/s41597-022-01271-z","ISSN":"2052-4463","issue":"1","note":"Citation Key: Abel2022","page":"173","title":"Bilateral international migration flow estimates updated and refined by sex","volume":"9","author":[{"family":"Abel","given":"Guy J."},{"family":"Cohen","given":"Joel E."}],"issued":{"date-parts":[["2022",12,14]]}}}],"schema":"https://github.com/citation-style-language/schema/raw/master/csl-citation.json"} </w:instrText>
            </w:r>
            <w:r>
              <w:fldChar w:fldCharType="separate"/>
            </w:r>
            <w:r>
              <w:rPr>
                <w:rFonts w:ascii="Calibri" w:hAnsi="Calibri" w:cs="Calibri"/>
              </w:rPr>
              <w:t>(Abel &amp; Cohen, 2022)</w:t>
            </w:r>
            <w:r>
              <w:fldChar w:fldCharType="end"/>
            </w:r>
          </w:p>
        </w:tc>
        <w:tc>
          <w:tcPr>
            <w:tcW w:w="1192" w:type="dxa"/>
            <w:tcBorders>
              <w:top w:val="single" w:sz="4" w:space="0" w:color="auto"/>
              <w:left w:val="single" w:sz="4" w:space="0" w:color="auto"/>
              <w:bottom w:val="single" w:sz="4" w:space="0" w:color="auto"/>
              <w:right w:val="single" w:sz="4" w:space="0" w:color="auto"/>
            </w:tcBorders>
            <w:hideMark/>
          </w:tcPr>
          <w:p w14:paraId="1AE40140" w14:textId="77777777" w:rsidR="00D31799" w:rsidRDefault="00D31799">
            <w:r>
              <w:t>does not reproduce past country-level trends</w:t>
            </w:r>
          </w:p>
        </w:tc>
        <w:tc>
          <w:tcPr>
            <w:tcW w:w="1470" w:type="dxa"/>
            <w:tcBorders>
              <w:top w:val="single" w:sz="4" w:space="0" w:color="auto"/>
              <w:left w:val="single" w:sz="4" w:space="0" w:color="auto"/>
              <w:right w:val="single" w:sz="4" w:space="0" w:color="auto"/>
            </w:tcBorders>
            <w:hideMark/>
          </w:tcPr>
          <w:p w14:paraId="3810C433" w14:textId="77777777" w:rsidR="00D31799" w:rsidRDefault="00D31799">
            <w:r>
              <w:t>+0.2 to +1.6</w:t>
            </w:r>
          </w:p>
        </w:tc>
        <w:tc>
          <w:tcPr>
            <w:tcW w:w="1346" w:type="dxa"/>
            <w:tcBorders>
              <w:top w:val="single" w:sz="4" w:space="0" w:color="auto"/>
              <w:left w:val="single" w:sz="4" w:space="0" w:color="auto"/>
              <w:right w:val="single" w:sz="4" w:space="0" w:color="auto"/>
            </w:tcBorders>
            <w:hideMark/>
          </w:tcPr>
          <w:p w14:paraId="7643AB18" w14:textId="77777777" w:rsidR="00D31799" w:rsidRDefault="00D31799">
            <w:r>
              <w:t xml:space="preserve">- </w:t>
            </w:r>
          </w:p>
        </w:tc>
      </w:tr>
      <w:tr w:rsidR="00D31799" w14:paraId="4F9E71A3" w14:textId="77777777" w:rsidTr="00D31799">
        <w:tc>
          <w:tcPr>
            <w:tcW w:w="9396" w:type="dxa"/>
            <w:gridSpan w:val="7"/>
            <w:tcBorders>
              <w:top w:val="single" w:sz="4" w:space="0" w:color="auto"/>
              <w:left w:val="single" w:sz="4" w:space="0" w:color="auto"/>
              <w:bottom w:val="single" w:sz="4" w:space="0" w:color="auto"/>
              <w:right w:val="single" w:sz="4" w:space="0" w:color="auto"/>
            </w:tcBorders>
            <w:hideMark/>
          </w:tcPr>
          <w:p w14:paraId="786ED997" w14:textId="77777777" w:rsidR="00D31799" w:rsidRDefault="00D31799">
            <w:pPr>
              <w:rPr>
                <w:i/>
              </w:rPr>
            </w:pPr>
            <w:r>
              <w:rPr>
                <w:i/>
              </w:rPr>
              <w:t>Marginal effects models</w:t>
            </w:r>
          </w:p>
        </w:tc>
      </w:tr>
      <w:tr w:rsidR="00D31799" w14:paraId="7CDDC49A" w14:textId="77777777" w:rsidTr="00142982">
        <w:trPr>
          <w:trHeight w:val="1090"/>
        </w:trPr>
        <w:tc>
          <w:tcPr>
            <w:tcW w:w="1358" w:type="dxa"/>
            <w:tcBorders>
              <w:top w:val="single" w:sz="4" w:space="0" w:color="auto"/>
              <w:left w:val="single" w:sz="4" w:space="0" w:color="auto"/>
              <w:bottom w:val="single" w:sz="4" w:space="0" w:color="auto"/>
              <w:right w:val="single" w:sz="4" w:space="0" w:color="auto"/>
            </w:tcBorders>
            <w:hideMark/>
          </w:tcPr>
          <w:p w14:paraId="4F0750C3" w14:textId="77777777" w:rsidR="00D31799" w:rsidRDefault="00D31799">
            <w:pPr>
              <w:rPr>
                <w:lang w:val="de-DE"/>
              </w:rPr>
            </w:pPr>
            <w:proofErr w:type="spellStart"/>
            <w:r>
              <w:rPr>
                <w:rFonts w:ascii="Calibri" w:hAnsi="Calibri" w:cs="Calibri"/>
              </w:rPr>
              <w:t>Cattaneo</w:t>
            </w:r>
            <w:proofErr w:type="spellEnd"/>
            <w:r>
              <w:rPr>
                <w:rFonts w:ascii="Calibri" w:hAnsi="Calibri" w:cs="Calibri"/>
              </w:rPr>
              <w:t xml:space="preserve"> et al. </w:t>
            </w:r>
            <w:r>
              <w:fldChar w:fldCharType="begin" w:fldLock="1"/>
            </w:r>
            <w:r>
              <w:instrText xml:space="preserve"> ADDIN ZOTERO_ITEM CSL_CITATION {"citationID":"pft5Dwrv","properties":{"formattedCitation":"(2024)","plainCitation":"(2024)","noteIndex":0},"citationItems":[{"id":8758,"uris":["http://zotero.org/users/local/eKHIbq9c/items/DRE9PT5H","http://zotero.org/users/16538746/items/DRE9PT5H"],"itemData":{"id":8758,"type":"article-journal","abstract":"The literature linking climatic drivers and migration is growing, but there is still limited evidence and substantial uncertainty regarding future bilateral flows driven by climate stress on a global scale. The aim of this paper is to fill this gap by projecting changes in the flows of international migrants from medium-term population and climate change projections. We employ a bilateral gravity equation for emigration rates controlling for decadal weather averages of temperature, precipitation, droughts, and extreme precipitation in the origin countries. We use the parameter estimates of the gravity equation to estimate global, regional, and country-by-country emigration flows for several combinations of socio-economic development and climate change. Results indicate that global emigration flows are projected to increase to around 110 million in 2060 for SSP1 and RCP 4.5 and SSP5 and RCP 4.5; to 135 million for SSP5 and RCP 8.5; to 163 million for SSP3 and RCP 4.5. We report that changes in emigration flows are largely due to population growth in the origin countries.","container-title":"Environmental Research Letters","DOI":"10.1088/1748-9326/ad91cb","ISSN":"1748-9326","journalAbbreviation":"Environ. Res. Lett.","language":"en","source":"Institute of Physics","title":"Climate variability and worldwide migration: Current evidence and future projections","title-short":"Climate variability and worldwide migration","URL":"http://iopscience.iop.org/article/10.1088/1748-9326/ad91cb","author":[{"family":"Cattaneo","given":"Cristina"},{"family":"Massetti","given":"Emanuele"},{"family":"Farinosi","given":"Fabio"},{"family":"Dasgupta","given":"Shouro"}],"accessed":{"date-parts":[["2024",11,18]]},"issued":{"date-parts":[["2024"]]}},"suppress-author":true}],"schema":"https://github.com/citation-style-language/schema/raw/master/csl-citation.json"} </w:instrText>
            </w:r>
            <w:r>
              <w:fldChar w:fldCharType="separate"/>
            </w:r>
            <w:r>
              <w:rPr>
                <w:rFonts w:ascii="Calibri" w:hAnsi="Calibri" w:cs="Calibri"/>
              </w:rPr>
              <w:t>(2024)</w:t>
            </w:r>
            <w:r>
              <w:fldChar w:fldCharType="end"/>
            </w:r>
          </w:p>
          <w:p w14:paraId="66B22E71" w14:textId="77777777" w:rsidR="00D31799" w:rsidRDefault="00D31799">
            <w:pPr>
              <w:rPr>
                <w:lang w:val="de-DE"/>
              </w:rPr>
            </w:pPr>
            <w:r>
              <w:rPr>
                <w:lang w:val="de-DE"/>
              </w:rPr>
              <w:t>(</w:t>
            </w:r>
            <w:r>
              <w:rPr>
                <w:i/>
                <w:iCs/>
                <w:lang w:val="de-DE"/>
              </w:rPr>
              <w:t>global</w:t>
            </w:r>
            <w:r>
              <w:rPr>
                <w:lang w:val="de-DE"/>
              </w:rPr>
              <w:t>)</w:t>
            </w:r>
          </w:p>
        </w:tc>
        <w:tc>
          <w:tcPr>
            <w:tcW w:w="1358" w:type="dxa"/>
            <w:tcBorders>
              <w:top w:val="single" w:sz="4" w:space="0" w:color="auto"/>
              <w:left w:val="single" w:sz="4" w:space="0" w:color="auto"/>
              <w:bottom w:val="single" w:sz="4" w:space="0" w:color="auto"/>
              <w:right w:val="single" w:sz="4" w:space="0" w:color="auto"/>
            </w:tcBorders>
            <w:hideMark/>
          </w:tcPr>
          <w:p w14:paraId="5CAC8A94" w14:textId="77777777" w:rsidR="00D31799" w:rsidRDefault="00D31799">
            <w:r>
              <w:t>Panel fixed effects</w:t>
            </w:r>
          </w:p>
        </w:tc>
        <w:tc>
          <w:tcPr>
            <w:tcW w:w="1438" w:type="dxa"/>
            <w:tcBorders>
              <w:top w:val="single" w:sz="4" w:space="0" w:color="auto"/>
              <w:left w:val="single" w:sz="4" w:space="0" w:color="auto"/>
              <w:bottom w:val="single" w:sz="4" w:space="0" w:color="auto"/>
              <w:right w:val="single" w:sz="4" w:space="0" w:color="auto"/>
            </w:tcBorders>
            <w:hideMark/>
          </w:tcPr>
          <w:p w14:paraId="624D2E53" w14:textId="77777777" w:rsidR="00D31799" w:rsidRDefault="00D31799">
            <w:r>
              <w:t>temperature and precipitation anomalies</w:t>
            </w:r>
          </w:p>
        </w:tc>
        <w:tc>
          <w:tcPr>
            <w:tcW w:w="1234" w:type="dxa"/>
            <w:tcBorders>
              <w:top w:val="single" w:sz="4" w:space="0" w:color="auto"/>
              <w:left w:val="single" w:sz="4" w:space="0" w:color="auto"/>
              <w:bottom w:val="single" w:sz="4" w:space="0" w:color="auto"/>
              <w:right w:val="single" w:sz="4" w:space="0" w:color="auto"/>
            </w:tcBorders>
            <w:hideMark/>
          </w:tcPr>
          <w:p w14:paraId="45F708D5" w14:textId="77777777" w:rsidR="00D31799" w:rsidRDefault="00D31799">
            <w:r>
              <w:fldChar w:fldCharType="begin" w:fldLock="1"/>
            </w:r>
            <w:r>
              <w:instrText xml:space="preserve"> ADDIN ZOTERO_ITEM CSL_CITATION {"citationID":"48tai2Gg","properties":{"formattedCitation":"(Abel, 2018)","plainCitation":"(Abel, 2018)","noteIndex":0},"citationItems":[{"id":8996,"uris":["http://www.mendeley.com/documents/?uuid=84d7f437-67be-4a97-9d9f-8a8759200b1d","http://zotero.org/users/local/eKHIbq9c/items/IYZFSDL3","http://zotero.org/users/16538746/items/IYZFSDL3"],"itemData":{"id":8996,"type":"article-journal","abstract":"An indirect estimation method is used to derive country to country migration flows from changes in global bilateral stock data. Estimates are obtained over five-and 10-year periods between 1960 and 2015 by gender, providing a comprehensive picture of past migration patterns. The estimated total of global international migrant flows generally increases over the 55-year time frame. The global rate of migration over five-and 10-year periods fluctuate at around 0.65 and 1.25 percent of the population, respectively. The sensitivity of estimates to alternative input stock and demographic data are explored.","container-title":"International Migration Review","DOI":"10.1177/0197918318781842","ISSN":"0197-9183","issue":"3","note":"Citation Key: Abel2018a","page":"809-852","title":"Estimates of Global Bilateral Migration Flows by Gender between 1960 and 2015 1","volume":"52","author":[{"family":"Abel","given":"Guy J."}],"issued":{"date-parts":[["2018",9,16]]}}}],"schema":"https://github.com/citation-style-language/schema/raw/master/csl-citation.json"} </w:instrText>
            </w:r>
            <w:r>
              <w:fldChar w:fldCharType="separate"/>
            </w:r>
            <w:r>
              <w:rPr>
                <w:rFonts w:ascii="Calibri" w:hAnsi="Calibri" w:cs="Calibri"/>
              </w:rPr>
              <w:t>(Abel, 2018)</w:t>
            </w:r>
            <w:r>
              <w:fldChar w:fldCharType="end"/>
            </w:r>
          </w:p>
        </w:tc>
        <w:tc>
          <w:tcPr>
            <w:tcW w:w="1192" w:type="dxa"/>
            <w:tcBorders>
              <w:top w:val="single" w:sz="4" w:space="0" w:color="auto"/>
              <w:left w:val="single" w:sz="4" w:space="0" w:color="auto"/>
              <w:bottom w:val="single" w:sz="4" w:space="0" w:color="auto"/>
              <w:right w:val="single" w:sz="4" w:space="0" w:color="auto"/>
            </w:tcBorders>
            <w:hideMark/>
          </w:tcPr>
          <w:p w14:paraId="311AB5B0" w14:textId="77777777" w:rsidR="00D31799" w:rsidRDefault="00D31799">
            <w:r>
              <w:t>-</w:t>
            </w:r>
          </w:p>
        </w:tc>
        <w:tc>
          <w:tcPr>
            <w:tcW w:w="1470" w:type="dxa"/>
            <w:tcBorders>
              <w:top w:val="single" w:sz="4" w:space="0" w:color="auto"/>
              <w:left w:val="single" w:sz="4" w:space="0" w:color="auto"/>
              <w:right w:val="single" w:sz="4" w:space="0" w:color="auto"/>
            </w:tcBorders>
            <w:shd w:val="clear" w:color="auto" w:fill="FFFFFF" w:themeFill="background1"/>
            <w:hideMark/>
          </w:tcPr>
          <w:p w14:paraId="68B8E066" w14:textId="77777777" w:rsidR="00D31799" w:rsidRDefault="00D31799">
            <w:r>
              <w:t>+100 to +200</w:t>
            </w:r>
            <w:r>
              <w:rPr>
                <w:highlight w:val="cyan"/>
              </w:rPr>
              <w:t xml:space="preserve"> </w:t>
            </w:r>
          </w:p>
        </w:tc>
        <w:tc>
          <w:tcPr>
            <w:tcW w:w="1346" w:type="dxa"/>
            <w:tcBorders>
              <w:top w:val="single" w:sz="4" w:space="0" w:color="auto"/>
              <w:left w:val="single" w:sz="4" w:space="0" w:color="auto"/>
              <w:right w:val="single" w:sz="4" w:space="0" w:color="auto"/>
            </w:tcBorders>
            <w:shd w:val="clear" w:color="auto" w:fill="FFFFFF" w:themeFill="background1"/>
            <w:hideMark/>
          </w:tcPr>
          <w:p w14:paraId="1785A37E" w14:textId="77777777" w:rsidR="00D31799" w:rsidRDefault="00D31799">
            <w:pPr>
              <w:rPr>
                <w:i/>
              </w:rPr>
            </w:pPr>
            <w:r>
              <w:rPr>
                <w:i/>
              </w:rPr>
              <w:t xml:space="preserve">- </w:t>
            </w:r>
          </w:p>
        </w:tc>
      </w:tr>
      <w:tr w:rsidR="00D31799" w14:paraId="4EE6FAC9" w14:textId="77777777" w:rsidTr="00D31799">
        <w:tc>
          <w:tcPr>
            <w:tcW w:w="9396" w:type="dxa"/>
            <w:gridSpan w:val="7"/>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73604293" w14:textId="77777777" w:rsidR="00D31799" w:rsidRDefault="00D31799">
            <w:pPr>
              <w:jc w:val="center"/>
              <w:rPr>
                <w:i/>
              </w:rPr>
            </w:pPr>
            <w:r>
              <w:rPr>
                <w:i/>
              </w:rPr>
              <w:t>Attribution (cumulative, rounded, in millions)</w:t>
            </w:r>
          </w:p>
        </w:tc>
      </w:tr>
      <w:tr w:rsidR="00D31799" w14:paraId="5C019A85" w14:textId="77777777" w:rsidTr="00D31799">
        <w:tc>
          <w:tcPr>
            <w:tcW w:w="9396" w:type="dxa"/>
            <w:gridSpan w:val="7"/>
            <w:tcBorders>
              <w:top w:val="single" w:sz="4" w:space="0" w:color="auto"/>
              <w:left w:val="single" w:sz="4" w:space="0" w:color="auto"/>
              <w:bottom w:val="single" w:sz="4" w:space="0" w:color="auto"/>
              <w:right w:val="single" w:sz="4" w:space="0" w:color="auto"/>
            </w:tcBorders>
            <w:hideMark/>
          </w:tcPr>
          <w:p w14:paraId="0E2FD4C1" w14:textId="77777777" w:rsidR="00D31799" w:rsidRDefault="00D31799">
            <w:pPr>
              <w:rPr>
                <w:i/>
              </w:rPr>
            </w:pPr>
            <w:r>
              <w:rPr>
                <w:i/>
              </w:rPr>
              <w:t>System-wide models</w:t>
            </w:r>
          </w:p>
        </w:tc>
      </w:tr>
      <w:tr w:rsidR="00D31799" w14:paraId="32FAA707" w14:textId="77777777" w:rsidTr="001E3589">
        <w:trPr>
          <w:trHeight w:val="2686"/>
        </w:trPr>
        <w:tc>
          <w:tcPr>
            <w:tcW w:w="1358" w:type="dxa"/>
            <w:tcBorders>
              <w:top w:val="single" w:sz="4" w:space="0" w:color="auto"/>
              <w:left w:val="single" w:sz="4" w:space="0" w:color="auto"/>
              <w:bottom w:val="single" w:sz="4" w:space="0" w:color="auto"/>
              <w:right w:val="single" w:sz="4" w:space="0" w:color="auto"/>
            </w:tcBorders>
          </w:tcPr>
          <w:p w14:paraId="4491D92D" w14:textId="0D2C709B" w:rsidR="00D31799" w:rsidRDefault="00D31799">
            <w:proofErr w:type="spellStart"/>
            <w:r>
              <w:rPr>
                <w:rFonts w:ascii="Calibri" w:hAnsi="Calibri" w:cs="Calibri"/>
              </w:rPr>
              <w:lastRenderedPageBreak/>
              <w:t>Rikani</w:t>
            </w:r>
            <w:proofErr w:type="spellEnd"/>
            <w:r>
              <w:rPr>
                <w:rFonts w:ascii="Calibri" w:hAnsi="Calibri" w:cs="Calibri"/>
              </w:rPr>
              <w:t xml:space="preserve"> et al. </w:t>
            </w:r>
            <w:r>
              <w:fldChar w:fldCharType="begin" w:fldLock="1"/>
            </w:r>
            <w:r>
              <w:instrText xml:space="preserve"> ADDIN ZOTERO_ITEM CSL_CITATION {"citationID":"ylGd6pbA","properties":{"formattedCitation":"(2023)","plainCitation":"(2023)","noteIndex":0},"citationItems":[{"id":9001,"uris":["http://www.mendeley.com/documents/?uuid=a46c8625-516f-430b-8ed8-a4b421b42e0a","http://zotero.org/users/local/eKHIbq9c/items/9DV88SLU","http://zotero.org/users/16538746/items/9DV88SLU"],"itemData":{"id":9001,"type":"article-journal","abstract":"The observed temperature increase due to anthropogenic carbon emissions has impacted economies worldwide. National income levels in origin and destination countries influence international migration. Emigration is relatively low not only from high income countries but also from very poor regions, which is explained in current migration theory by credit constraints and lower average education levels, among other reasons. These relationships suggest a potential non-linear, indirect effect of climate change on migration through this indirect channel. Here we explore this effect through a counterfactual analysis using observational data and a simple model of migration. We show that a world without climate change would have seen less migration during the past 30 years, but that this effect is strongly reduced due to inhibited mobility. Our framework suggests that migration within the Global South has been strongly reduced because these countries have seen less economic growth than they would have experienced without climate change. Importantly, climate change has impacted international migration in the richer and poorer parts of the world very differently. In the future, climate change may keep increasing global migration as it slows down countries’ transition across the middle-income range associated with the highest emigration rates.","container-title":"Environmental Research Letters","DOI":"10.1088/1748-9326/aca6fe","ISSN":"1748-9326","issue":"2","note":"Citation Key: Rikani2023","page":"024006","title":"More people too poor to move: divergent effects of climate change on global migration patterns","title-short":"More people too poor to move","volume":"18","author":[{"family":"Rikani","given":"Albano"},{"family":"Otto","given":"Christian"},{"family":"Levermann","given":"Anders"},{"family":"Schewe","given":"Jacob"}],"issued":{"date-parts":[["2023",2,1]]}},"suppress-author":true}],"schema":"https://github.com/citation-style-language/schema/raw/master/csl-citation.json"} </w:instrText>
            </w:r>
            <w:r>
              <w:fldChar w:fldCharType="separate"/>
            </w:r>
            <w:r>
              <w:rPr>
                <w:rFonts w:ascii="Calibri" w:hAnsi="Calibri" w:cs="Calibri"/>
              </w:rPr>
              <w:t>(2023)</w:t>
            </w:r>
            <w:r>
              <w:fldChar w:fldCharType="end"/>
            </w:r>
            <w:r>
              <w:t xml:space="preserve"> (</w:t>
            </w:r>
            <w:r>
              <w:rPr>
                <w:i/>
                <w:iCs/>
              </w:rPr>
              <w:t>global</w:t>
            </w:r>
            <w:r w:rsidR="003C67C8">
              <w:rPr>
                <w:i/>
                <w:iCs/>
              </w:rPr>
              <w:t>;</w:t>
            </w:r>
          </w:p>
          <w:p w14:paraId="2A456CAA" w14:textId="7CE8B35C" w:rsidR="00D31799" w:rsidRPr="002C2893" w:rsidRDefault="00D31799">
            <w:pPr>
              <w:rPr>
                <w:iCs/>
              </w:rPr>
            </w:pPr>
            <w:r w:rsidRPr="003C67C8">
              <w:rPr>
                <w:i/>
              </w:rPr>
              <w:t xml:space="preserve">1990-2020, </w:t>
            </w:r>
            <w:r w:rsidRPr="002C2893">
              <w:rPr>
                <w:i/>
              </w:rPr>
              <w:t>relative to pre-industrial global mean temperature</w:t>
            </w:r>
            <w:r w:rsidR="003C67C8">
              <w:rPr>
                <w:iCs/>
              </w:rPr>
              <w:t>)</w:t>
            </w:r>
          </w:p>
          <w:p w14:paraId="44667D04" w14:textId="77777777" w:rsidR="00D31799" w:rsidRDefault="00D31799"/>
        </w:tc>
        <w:tc>
          <w:tcPr>
            <w:tcW w:w="1358" w:type="dxa"/>
            <w:tcBorders>
              <w:top w:val="single" w:sz="4" w:space="0" w:color="auto"/>
              <w:left w:val="single" w:sz="4" w:space="0" w:color="auto"/>
              <w:bottom w:val="single" w:sz="4" w:space="0" w:color="auto"/>
              <w:right w:val="single" w:sz="4" w:space="0" w:color="auto"/>
            </w:tcBorders>
            <w:hideMark/>
          </w:tcPr>
          <w:p w14:paraId="2AD6D254" w14:textId="77777777" w:rsidR="00D31799" w:rsidRDefault="00D31799">
            <w:r>
              <w:t>Nonlinear migration model; marginal effects of temperature on GDP</w:t>
            </w:r>
          </w:p>
        </w:tc>
        <w:tc>
          <w:tcPr>
            <w:tcW w:w="1438" w:type="dxa"/>
            <w:tcBorders>
              <w:top w:val="single" w:sz="4" w:space="0" w:color="auto"/>
              <w:left w:val="single" w:sz="4" w:space="0" w:color="auto"/>
              <w:bottom w:val="single" w:sz="4" w:space="0" w:color="auto"/>
              <w:right w:val="single" w:sz="4" w:space="0" w:color="auto"/>
            </w:tcBorders>
            <w:hideMark/>
          </w:tcPr>
          <w:p w14:paraId="0E4FAC1F" w14:textId="77777777" w:rsidR="00D31799" w:rsidRDefault="00D31799">
            <w:r>
              <w:t>gradual change in temperature</w:t>
            </w:r>
          </w:p>
        </w:tc>
        <w:tc>
          <w:tcPr>
            <w:tcW w:w="1234" w:type="dxa"/>
            <w:tcBorders>
              <w:top w:val="single" w:sz="4" w:space="0" w:color="auto"/>
              <w:left w:val="single" w:sz="4" w:space="0" w:color="auto"/>
              <w:bottom w:val="single" w:sz="4" w:space="0" w:color="auto"/>
              <w:right w:val="single" w:sz="4" w:space="0" w:color="auto"/>
            </w:tcBorders>
            <w:hideMark/>
          </w:tcPr>
          <w:p w14:paraId="218ADF4E" w14:textId="77777777" w:rsidR="00D31799" w:rsidRDefault="00D31799">
            <w:r>
              <w:fldChar w:fldCharType="begin" w:fldLock="1"/>
            </w:r>
            <w:r>
              <w:instrText xml:space="preserve"> ADDIN ZOTERO_ITEM CSL_CITATION {"citationID":"BPxmVicC","properties":{"formattedCitation":"(Abel &amp; Cohen, 2022)","plainCitation":"(Abel &amp; Cohen, 2022)","noteIndex":0},"citationItems":[{"id":4442,"uris":["http://www.mendeley.com/documents/?uuid=85110495-10b7-44d0-8716-ba03462fc289","http://zotero.org/users/local/eKHIbq9c/items/Q4R5DR3W","http://zotero.org/users/16538746/items/Q4R5DR3W"],"itemData":{"id":4442,"type":"article-journal","abstract":"Females and males often migrate at different rates. Official data on sex-specific international migration flows are missing for most countries, prohibiting comparative measures to identify and address inequalities. Here we use six methods to estimate male and female five-year bilateral migration flows between 200 countries from 1990 to 2020. We validate the estimates from each method through correlations of several migration measures with equivalent reported statistics in countries that collect flow data. We find that the Pseudo-Bayesian demographic accounting method performs consistently better than the other estimation methods for both female and male estimated flows. The estimates from all methods indicate a decline in the share of female migration flows from 1990–1995 to 2005–2010 followed by a recovery over the decade since 2010.","container-title":"Scientific Data","DOI":"10.1038/s41597-022-01271-z","ISSN":"2052-4463","issue":"1","note":"Citation Key: Abel2022","page":"173","title":"Bilateral international migration flow estimates updated and refined by sex","volume":"9","author":[{"family":"Abel","given":"Guy J."},{"family":"Cohen","given":"Joel E."}],"issued":{"date-parts":[["2022",12,14]]}}}],"schema":"https://github.com/citation-style-language/schema/raw/master/csl-citation.json"} </w:instrText>
            </w:r>
            <w:r>
              <w:fldChar w:fldCharType="separate"/>
            </w:r>
            <w:r>
              <w:rPr>
                <w:rFonts w:ascii="Calibri" w:hAnsi="Calibri" w:cs="Calibri"/>
              </w:rPr>
              <w:t>(Abel &amp; Cohen, 2022)</w:t>
            </w:r>
            <w:r>
              <w:fldChar w:fldCharType="end"/>
            </w:r>
          </w:p>
        </w:tc>
        <w:tc>
          <w:tcPr>
            <w:tcW w:w="1192" w:type="dxa"/>
            <w:tcBorders>
              <w:top w:val="single" w:sz="4" w:space="0" w:color="auto"/>
              <w:left w:val="single" w:sz="4" w:space="0" w:color="auto"/>
              <w:bottom w:val="single" w:sz="4" w:space="0" w:color="auto"/>
              <w:right w:val="single" w:sz="4" w:space="0" w:color="auto"/>
            </w:tcBorders>
            <w:hideMark/>
          </w:tcPr>
          <w:p w14:paraId="67A57618" w14:textId="77777777" w:rsidR="00D31799" w:rsidRDefault="00D31799">
            <w:r>
              <w:t>does not reproduce past country-level trends</w:t>
            </w:r>
          </w:p>
        </w:tc>
        <w:tc>
          <w:tcPr>
            <w:tcW w:w="1470" w:type="dxa"/>
            <w:tcBorders>
              <w:top w:val="single" w:sz="4" w:space="0" w:color="auto"/>
              <w:left w:val="single" w:sz="4" w:space="0" w:color="auto"/>
              <w:right w:val="single" w:sz="4" w:space="0" w:color="auto"/>
            </w:tcBorders>
            <w:hideMark/>
          </w:tcPr>
          <w:p w14:paraId="51B070DA" w14:textId="77777777" w:rsidR="00D31799" w:rsidRDefault="00D31799">
            <w:pPr>
              <w:rPr>
                <w:iCs/>
              </w:rPr>
            </w:pPr>
            <w:r>
              <w:rPr>
                <w:iCs/>
              </w:rPr>
              <w:t>+0.01 to +0.08</w:t>
            </w:r>
          </w:p>
        </w:tc>
        <w:tc>
          <w:tcPr>
            <w:tcW w:w="1346" w:type="dxa"/>
            <w:tcBorders>
              <w:top w:val="single" w:sz="4" w:space="0" w:color="auto"/>
              <w:left w:val="single" w:sz="4" w:space="0" w:color="auto"/>
              <w:right w:val="single" w:sz="4" w:space="0" w:color="auto"/>
            </w:tcBorders>
            <w:hideMark/>
          </w:tcPr>
          <w:p w14:paraId="78E637E1" w14:textId="77777777" w:rsidR="00D31799" w:rsidRDefault="00D31799">
            <w:pPr>
              <w:rPr>
                <w:iCs/>
              </w:rPr>
            </w:pPr>
            <w:r>
              <w:rPr>
                <w:iCs/>
              </w:rPr>
              <w:t>-</w:t>
            </w:r>
          </w:p>
        </w:tc>
      </w:tr>
      <w:bookmarkEnd w:id="1"/>
    </w:tbl>
    <w:p w14:paraId="66A7B864" w14:textId="77777777" w:rsidR="00D31799" w:rsidRDefault="00D31799" w:rsidP="00D31799"/>
    <w:p w14:paraId="580C9209" w14:textId="77777777" w:rsidR="00D31799" w:rsidRPr="00D31799" w:rsidRDefault="00D31799" w:rsidP="002C2893"/>
    <w:p w14:paraId="6CAB869A" w14:textId="0E020FAB" w:rsidR="00C12333" w:rsidRDefault="00C12333" w:rsidP="00C12333">
      <w:pPr>
        <w:pStyle w:val="Heading1"/>
      </w:pPr>
      <w:r>
        <w:t>Examples of feedbacks and their magnitude</w:t>
      </w:r>
    </w:p>
    <w:p w14:paraId="0B57A082" w14:textId="4DE30BB8" w:rsidR="00A434D4" w:rsidRDefault="00A434D4" w:rsidP="00C12333">
      <w:pPr>
        <w:pStyle w:val="Heading2"/>
      </w:pPr>
      <w:r>
        <w:t>P</w:t>
      </w:r>
      <w:r w:rsidR="00CD6D5C">
        <w:t>otential migrant p</w:t>
      </w:r>
      <w:r>
        <w:t xml:space="preserve">opulation </w:t>
      </w:r>
    </w:p>
    <w:p w14:paraId="3BB557B2" w14:textId="5109689E" w:rsidR="00A434D4" w:rsidRPr="002219D1" w:rsidRDefault="00A434D4" w:rsidP="00A434D4">
      <w:r>
        <w:t xml:space="preserve">Migration changes the size of the population at origin, and thus, the population </w:t>
      </w:r>
      <w:r w:rsidR="00CD6D5C">
        <w:t>that may potentially migrate</w:t>
      </w:r>
      <w:r>
        <w:t xml:space="preserve">. Projections of marginal effects can account for this comparatively trivial feedback by modeling changes in migration rates rather than changes in migration levels. Failure to account for it will bias projected migration flows by an amount that depends on the ratio of flows to population. </w:t>
      </w:r>
      <w:r w:rsidR="00752F99">
        <w:t xml:space="preserve">For example, </w:t>
      </w:r>
      <w:proofErr w:type="spellStart"/>
      <w:r w:rsidR="00752F99">
        <w:t>Marchiori</w:t>
      </w:r>
      <w:proofErr w:type="spellEnd"/>
      <w:r w:rsidR="00752F99">
        <w:t xml:space="preserve"> et al. </w:t>
      </w:r>
      <w:r w:rsidR="00752F99">
        <w:fldChar w:fldCharType="begin"/>
      </w:r>
      <w:r w:rsidR="00752F99">
        <w:instrText xml:space="preserve"> ADDIN ZOTERO_ITEM CSL_CITATION {"citationID":"a8V8eRTk","properties":{"formattedCitation":"(2012)","plainCitation":"(2012)","noteIndex":0},"citationItems":[{"id":8724,"uris":["http://zotero.org/users/local/eKHIbq9c/items/3XV4ZYZ5"],"itemData":{"id":8724,"type":"article-journal","abstract":"This paper analyzes the effects of weather anomalies on migration in sub-Saharan Africa. We present a theoretical model that demonstrates how weather anomalies induce rural–urban migration that subsequently triggers international migration. We distinguish two transmission channels, an amenity channel and an economic geography channel. Based on annual, cross-country panel data for sub-Saharan Africa, we present an empirical model that suggests that weather anomalies increased internal and international migration through both channels. We estimate that temperature and rainfall anomalies caused a total net displacement of 5 million people during the period 1960–2000, i.e. a minimum of 128,000 people every year. Based on medium UN population and IPCC climate change projections, we expect future weather anomalies to lead to an additional annual displacement of 11.8 million people by the end of the 21st century.","container-title":"Journal of Environmental Economics and Management","DOI":"10.1016/j.jeem.2012.02.001","ISSN":"00950696","issue":"3","note":"Citation Key: Marchiori2012\npublisher-place: Luxembourg Belgium USA France","page":"355-374","title":"The impact of weather anomalies on migration in sub-Saharan Africa","volume":"63","author":[{"family":"Marchiori","given":"Luca"},{"family":"Maystadt","given":"Jean-François"},{"family":"Schumacher","given":"Ingmar"}],"issued":{"date-parts":[["2012",5]]}},"suppress-author":true}],"schema":"https://github.com/citation-style-language/schema/raw/master/csl-citation.json"} </w:instrText>
      </w:r>
      <w:r w:rsidR="00752F99">
        <w:fldChar w:fldCharType="separate"/>
      </w:r>
      <w:r w:rsidR="00752F99" w:rsidRPr="00752F99">
        <w:rPr>
          <w:rFonts w:ascii="Calibri" w:hAnsi="Calibri" w:cs="Calibri"/>
        </w:rPr>
        <w:t>(2012)</w:t>
      </w:r>
      <w:r w:rsidR="00752F99">
        <w:fldChar w:fldCharType="end"/>
      </w:r>
      <w:r w:rsidR="00752F99">
        <w:t xml:space="preserve"> project a</w:t>
      </w:r>
      <w:r>
        <w:t xml:space="preserve"> climate-related increase in annual flows on the order of 1% of the total origin population (</w:t>
      </w:r>
      <w:r w:rsidR="00752F99">
        <w:t>3 million to 25 million additional annual net migrants from Sub-Saharan African countries, which have a total population of about 1.2 billion</w:t>
      </w:r>
      <w:r>
        <w:t>)</w:t>
      </w:r>
      <w:r w:rsidR="00CD6D5C">
        <w:t>. Absent natural population change and non-climate related migration,</w:t>
      </w:r>
      <w:r>
        <w:t xml:space="preserve"> </w:t>
      </w:r>
      <w:r w:rsidR="00CD6D5C">
        <w:t xml:space="preserve">such a net emigration rate </w:t>
      </w:r>
      <w:r>
        <w:t xml:space="preserve">would exhaust the </w:t>
      </w:r>
      <w:r w:rsidR="00CD6D5C">
        <w:t xml:space="preserve">origin </w:t>
      </w:r>
      <w:r>
        <w:t xml:space="preserve">population within 100 years, but the bias would become substantial much earlier. </w:t>
      </w:r>
    </w:p>
    <w:p w14:paraId="36F2118B" w14:textId="77777777" w:rsidR="00A434D4" w:rsidRDefault="00A434D4" w:rsidP="00C12333">
      <w:pPr>
        <w:pStyle w:val="Heading2"/>
      </w:pPr>
      <w:r>
        <w:t>Diaspora</w:t>
      </w:r>
    </w:p>
    <w:p w14:paraId="7F97DF14" w14:textId="0DA83FA1" w:rsidR="00A434D4" w:rsidRDefault="00A434D4" w:rsidP="00A434D4">
      <w:r>
        <w:t xml:space="preserve">For international migration, the size of the bilateral </w:t>
      </w:r>
      <w:r w:rsidR="006071AD">
        <w:t>migrant stock (</w:t>
      </w:r>
      <w:r>
        <w:t>diaspora</w:t>
      </w:r>
      <w:r w:rsidR="006071AD">
        <w:t>)</w:t>
      </w:r>
      <w:r>
        <w:t xml:space="preserve"> has been found to exert a strong influence on subsequent migration flows, with </w:t>
      </w:r>
      <w:r w:rsidR="000166E6">
        <w:t xml:space="preserve">coefficients </w:t>
      </w:r>
      <w:r>
        <w:t xml:space="preserve">in </w:t>
      </w:r>
      <w:r w:rsidR="000166E6">
        <w:t xml:space="preserve">empirical </w:t>
      </w:r>
      <w:r>
        <w:t>regression models ranging between about 0.6 and 1.0</w:t>
      </w:r>
      <w:r w:rsidR="00C655BB">
        <w:t>, estimated on decadal migration stock and flow data</w:t>
      </w:r>
      <w:r>
        <w:t xml:space="preserve"> </w:t>
      </w:r>
      <w:r>
        <w:fldChar w:fldCharType="begin" w:fldLock="1"/>
      </w:r>
      <w:r w:rsidR="00C655BB">
        <w:instrText xml:space="preserve"> ADDIN ZOTERO_ITEM CSL_CITATION {"citationID":"9Do6C3O3","properties":{"formattedCitation":"(Beine et al., 2011; Collier &amp; Hoeffler, 2018)","plainCitation":"(Beine et al., 2011; Collier &amp; Hoeffler, 2018)","noteIndex":0},"citationItems":[{"id":3721,"uris":["http://www.mendeley.com/documents/?uuid=ccf7161c-5e09-492e-acdf-8b61d96634d4","http://zotero.org/users/local/eKHIbq9c/items/N2VCA6A3","http://zotero.org/users/local/eKHIbq9c/items/SG2DQP6Y"],"itemData":{"id":3721,"type":"article-journal","container-title":"Journal of Development Economics","DOI":"10.1016/j.jdeveco.2009.11.004","ISSN":"03043878","issue":"1","note":"Citation Key: Beine2011a","page":"30-41","title":"Diasporas","volume":"95","author":[{"family":"Beine","given":"Michel"},{"family":"Docquier","given":"Frédéric"},{"family":"Özden","given":"Çağlar"}],"issued":{"date-parts":[["2011",5]]}}},{"id":9254,"uris":["http://zotero.org/users/local/eKHIbq9c/items/LD8WXHNK"],"itemData":{"id":9254,"type":"article-journal","abstract":"Using a gravity model, we examine the dynamics of migration from developing to OECD countries. Origin and destination countries are characterized by substantial differences in incomes, political rights and cultures. Incentives as well as costs shape the decision to migrate. One powerful dynamic effect is that diasporas increase migration, mainly because they lower the cost of migration. Diasporas assist the next wave of migrants by overcoming the high cost of the emigration, in particular when the origin country is far away and poor. The interaction between the diaspora and cultural distance is also significant. Diasporas in culturally distant countries appear to be particularly useful in overcoming the cost of migration. We interpret this as evidence that culturally distant diasporas are less likely to integrate and maintain closer links with their country of origin, while diasporas from culturally similar countries are more likely to integrate and thus be less useful to potential new migrants.","container-title":"Kyklos","DOI":"10.1111/kykl.12163","ISSN":"1467-6435","issue":"1","language":"en","license":"© 2018 John Wiley &amp; Sons Ltd.","note":"_eprint: https://onlinelibrary.wiley.com/doi/pdf/10.1111/kykl.12163","page":"86-109","source":"Wiley Online Library","title":"Migration, Diasporas and Culture: An Empirical Investigation","title-short":"Migration, Diasporas and Culture","volume":"71","author":[{"family":"Collier","given":"Paul"},{"family":"Hoeffler","given":"Anke"}],"issued":{"date-parts":[["2018"]]}}}],"schema":"https://github.com/citation-style-language/schema/raw/master/csl-citation.json"} </w:instrText>
      </w:r>
      <w:r>
        <w:fldChar w:fldCharType="separate"/>
      </w:r>
      <w:r w:rsidR="00C655BB" w:rsidRPr="00C655BB">
        <w:rPr>
          <w:rFonts w:ascii="Calibri" w:hAnsi="Calibri" w:cs="Calibri"/>
        </w:rPr>
        <w:t>(Beine et al., 2011; Collier &amp; Hoeffler, 2018)</w:t>
      </w:r>
      <w:r>
        <w:fldChar w:fldCharType="end"/>
      </w:r>
      <w:r w:rsidR="00C655BB">
        <w:t>. This</w:t>
      </w:r>
      <w:r>
        <w:t xml:space="preserve"> </w:t>
      </w:r>
      <w:r w:rsidR="00C655BB">
        <w:t xml:space="preserve">means decadal </w:t>
      </w:r>
      <w:r>
        <w:t xml:space="preserve">migration flows increase by </w:t>
      </w:r>
      <w:r w:rsidR="007C362D">
        <w:t xml:space="preserve">up to </w:t>
      </w:r>
      <w:r>
        <w:t xml:space="preserve">one percent for every percent increase in diaspora size. </w:t>
      </w:r>
      <w:r w:rsidR="006071AD">
        <w:t xml:space="preserve">Such a self-reinforcing feedback effect would imply an exponential growth of flows and stocks over time, which is not sustainable over long timescales; de Haas </w:t>
      </w:r>
      <w:r w:rsidR="006071AD">
        <w:fldChar w:fldCharType="begin"/>
      </w:r>
      <w:r w:rsidR="006071AD">
        <w:instrText xml:space="preserve"> ADDIN ZOTERO_ITEM CSL_CITATION {"citationID":"3OYSd78T","properties":{"formattedCitation":"(2010)","plainCitation":"(2010)","noteIndex":0},"citationItems":[{"id":9243,"uris":["http://zotero.org/users/local/eKHIbq9c/items/M6VBWFVV"],"itemData":{"id":9243,"type":"article-journal","abstract":"The migration literature has identified various feedback mechanisms which explain why, once started, migration processes tend to become partly self-perpetuating, leading to the formation of migrant networks and migration systems. However, existing theories on the internal dynamics of migration processes are characterised by three fundamental weaknesses. First, their focus on migrant networks coincides with a neglect of indirect feedback dynamics that operate through the impact of migration on the sending and receiving contexts, changing the initial conditions under which migration takes place. Second, existing theories are unable to explain why most initial migration moves do not lead to network migration and migration system formation. Third, their largely circular logic reveals an inability to conceptualise which migration-undermining feedback mechanisms may counteract migration-facilitating feedback dynamics and which may explain the endogenous decline of established migration systems. By drawing on various disciplinary strands of migration theory and by applying insights from the critical social capital literature, this paper proposes a conceptual framework on the internal dynamics of migration processes by elaborating a set of hypotheses on the various migration-facilitating and migration-undermining feedback mechanisms at play in the various trajectories and stages of migration system formation and decline.","container-title":"Journal of Ethnic and Migration Studies","DOI":"10.1080/1369183X.2010.489361","ISSN":"1369-183X","issue":"10","note":"publisher: Routledge\n_eprint: https://doi.org/10.1080/1369183X.2010.489361","page":"1587-1617","source":"Taylor and Francis+NEJM","title":"The Internal Dynamics of Migration Processes: A Theoretical Inquiry","title-short":"The Internal Dynamics of Migration Processes","volume":"36","author":[{"family":"Haas","given":"Hein","non-dropping-particle":"de"}],"issued":{"date-parts":[["2010",12,1]]}},"suppress-author":true}],"schema":"https://github.com/citation-style-language/schema/raw/master/csl-citation.json"} </w:instrText>
      </w:r>
      <w:r w:rsidR="006071AD">
        <w:fldChar w:fldCharType="separate"/>
      </w:r>
      <w:r w:rsidR="006071AD" w:rsidRPr="006071AD">
        <w:rPr>
          <w:rFonts w:ascii="Calibri" w:hAnsi="Calibri" w:cs="Calibri"/>
        </w:rPr>
        <w:t>(2010)</w:t>
      </w:r>
      <w:r w:rsidR="006071AD">
        <w:fldChar w:fldCharType="end"/>
      </w:r>
      <w:r w:rsidR="006071AD">
        <w:t xml:space="preserve"> discusses </w:t>
      </w:r>
      <w:r w:rsidR="006506D7">
        <w:t xml:space="preserve">how </w:t>
      </w:r>
      <w:r w:rsidR="006071AD">
        <w:t xml:space="preserve">the relevance of this feedback, and </w:t>
      </w:r>
      <w:r w:rsidR="006506D7">
        <w:t xml:space="preserve">of </w:t>
      </w:r>
      <w:r w:rsidR="006071AD">
        <w:t xml:space="preserve">other, counteracting mechanisms, </w:t>
      </w:r>
      <w:r w:rsidR="006506D7">
        <w:t xml:space="preserve">changes </w:t>
      </w:r>
      <w:r w:rsidR="006071AD">
        <w:t xml:space="preserve">during different stages in the development of a bilateral migration system. The magnitude of the diaspora effect also strongly depends on factors such as distance or income levels in the origin country </w:t>
      </w:r>
      <w:r w:rsidR="006071AD">
        <w:fldChar w:fldCharType="begin"/>
      </w:r>
      <w:r w:rsidR="006071AD">
        <w:instrText xml:space="preserve"> ADDIN ZOTERO_ITEM CSL_CITATION {"citationID":"5X9rxtTN","properties":{"formattedCitation":"(Collier &amp; Hoeffler, 2018)","plainCitation":"(Collier &amp; Hoeffler, 2018)","noteIndex":0},"citationItems":[{"id":9254,"uris":["http://zotero.org/users/local/eKHIbq9c/items/LD8WXHNK"],"itemData":{"id":9254,"type":"article-journal","abstract":"Using a gravity model, we examine the dynamics of migration from developing to OECD countries. Origin and destination countries are characterized by substantial differences in incomes, political rights and cultures. Incentives as well as costs shape the decision to migrate. One powerful dynamic effect is that diasporas increase migration, mainly because they lower the cost of migration. Diasporas assist the next wave of migrants by overcoming the high cost of the emigration, in particular when the origin country is far away and poor. The interaction between the diaspora and cultural distance is also significant. Diasporas in culturally distant countries appear to be particularly useful in overcoming the cost of migration. We interpret this as evidence that culturally distant diasporas are less likely to integrate and maintain closer links with their country of origin, while diasporas from culturally similar countries are more likely to integrate and thus be less useful to potential new migrants.","container-title":"Kyklos","DOI":"10.1111/kykl.12163","ISSN":"1467-6435","issue":"1","language":"en","license":"© 2018 John Wiley &amp; Sons Ltd.","note":"_eprint: https://onlinelibrary.wiley.com/doi/pdf/10.1111/kykl.12163","page":"86-109","source":"Wiley Online Library","title":"Migration, Diasporas and Culture: An Empirical Investigation","title-short":"Migration, Diasporas and Culture","volume":"71","author":[{"family":"Collier","given":"Paul"},{"family":"Hoeffler","given":"Anke"}],"issued":{"date-parts":[["2018"]]}}}],"schema":"https://github.com/citation-style-language/schema/raw/master/csl-citation.json"} </w:instrText>
      </w:r>
      <w:r w:rsidR="006071AD">
        <w:fldChar w:fldCharType="separate"/>
      </w:r>
      <w:r w:rsidR="006071AD" w:rsidRPr="006071AD">
        <w:rPr>
          <w:rFonts w:ascii="Calibri" w:hAnsi="Calibri" w:cs="Calibri"/>
        </w:rPr>
        <w:t>(Collier &amp; Hoeffler, 2018)</w:t>
      </w:r>
      <w:r w:rsidR="006071AD">
        <w:fldChar w:fldCharType="end"/>
      </w:r>
      <w:r w:rsidR="006071AD">
        <w:t xml:space="preserve">. Nevertheless, at least </w:t>
      </w:r>
      <w:r w:rsidR="006506D7">
        <w:t xml:space="preserve">along some migration corridors and </w:t>
      </w:r>
      <w:r w:rsidR="006071AD">
        <w:t>within</w:t>
      </w:r>
      <w:r w:rsidR="006506D7">
        <w:t xml:space="preserve"> a certain time horizon, </w:t>
      </w:r>
      <w:r w:rsidR="006071AD">
        <w:t>there is potential for</w:t>
      </w:r>
      <w:r w:rsidR="006506D7">
        <w:t xml:space="preserve"> the diaspora feedback to substantially amplify any incremental increases in migration </w:t>
      </w:r>
      <w:r w:rsidR="003F35E4">
        <w:t>flows</w:t>
      </w:r>
      <w:r w:rsidR="006506D7">
        <w:t xml:space="preserve"> due to climate change</w:t>
      </w:r>
      <w:r w:rsidR="003F35E4">
        <w:t xml:space="preserve">, in absolute terms (in relative terms compared to </w:t>
      </w:r>
      <w:r w:rsidR="00F619E1">
        <w:t>baseline</w:t>
      </w:r>
      <w:r w:rsidR="003F35E4">
        <w:t xml:space="preserve"> flows</w:t>
      </w:r>
      <w:r w:rsidR="00F619E1">
        <w:t>, the climate change contribution would actually decrease as all flows would be subject the diaspora feedback)</w:t>
      </w:r>
      <w:r w:rsidR="006506D7">
        <w:t>.</w:t>
      </w:r>
      <w:r w:rsidR="006071AD">
        <w:t xml:space="preserve"> </w:t>
      </w:r>
      <w:r w:rsidR="003F35E4">
        <w:t>For instance, u</w:t>
      </w:r>
      <w:r>
        <w:t xml:space="preserve">sing </w:t>
      </w:r>
      <w:r w:rsidR="003F35E4">
        <w:t>a diaspora coefficient of</w:t>
      </w:r>
      <w:r>
        <w:t xml:space="preserve"> </w:t>
      </w:r>
      <w:r w:rsidR="003F35E4">
        <w:t>0.7</w:t>
      </w:r>
      <w:r>
        <w:t xml:space="preserve">, </w:t>
      </w:r>
      <w:r w:rsidR="003F35E4">
        <w:t xml:space="preserve">an initial climate-related increase in decadal </w:t>
      </w:r>
      <w:r>
        <w:t xml:space="preserve">flows </w:t>
      </w:r>
      <w:r w:rsidR="003F35E4">
        <w:t>would be multiplied four-fold after thirty years due to the diaspora feedback; or five-fold for a coefficient of 1.0</w:t>
      </w:r>
      <w:r w:rsidR="001A273F">
        <w:t xml:space="preserve"> (Supplementary Data)</w:t>
      </w:r>
      <w:r>
        <w:t xml:space="preserve">. </w:t>
      </w:r>
    </w:p>
    <w:p w14:paraId="0055FD74" w14:textId="77777777" w:rsidR="00A434D4" w:rsidRPr="00617574" w:rsidRDefault="00A434D4" w:rsidP="00C12333">
      <w:pPr>
        <w:pStyle w:val="Heading2"/>
      </w:pPr>
      <w:r>
        <w:lastRenderedPageBreak/>
        <w:t>Return migration</w:t>
      </w:r>
    </w:p>
    <w:p w14:paraId="7DE8EFED" w14:textId="77777777" w:rsidR="00A434D4" w:rsidRDefault="00A434D4" w:rsidP="00A434D4">
      <w:r>
        <w:t xml:space="preserve">Return migration can make up a sizeable portion of country-to-country flows </w:t>
      </w:r>
      <w:r>
        <w:fldChar w:fldCharType="begin"/>
      </w:r>
      <w:r>
        <w:instrText xml:space="preserve"> ADDIN ZOTERO_ITEM CSL_CITATION {"citationID":"G6UTGRIN","properties":{"formattedCitation":"(Azose &amp; Raftery, 2019)","plainCitation":"(Azose &amp; Raftery, 2019)","noteIndex":0},"citationItems":[{"id":7060,"uris":["http://zotero.org/users/local/eKHIbq9c/items/9BFQHVLT"],"itemData":{"id":7060,"type":"article-journal","abstract":"We propose a method for estimating migration flows between all pairs of countries that allows for decomposition of migration into emigration, return, and transit components. Current state-of-the-art estimates of bilateral migration flows rely on the assumption that the number of global migrants is as small as possible. We relax this assumption, producing complete estimates of all between-country migration flows with genuine estimates of total global migration. We find that the total number of individuals migrating internationally has oscillated between 1.13 and 1.29% of the global population per 5-year period since 1990. Return migration and transit migration are big parts of total migration; roughly one of four migration events is a return to an individual’s country of birth. In the most recent time period, we estimate particularly large return migration flows from the United States to Central and South America and from the Persian Gulf to south Asia.","container-title":"Proceedings of the National Academy of Sciences","DOI":"10.1073/pnas.1722334116","ISSN":"0027-8424","issue":"1","note":"Citation Key: Azose2019","page":"116-122","title":"Estimation of emigration, return migration, and transit migration between all pairs of countries","volume":"116","author":[{"family":"Azose","given":"Jonathan J."},{"family":"Raftery","given":"Adrian E."}],"issued":{"date-parts":[["2019",1,2]]}}}],"schema":"https://github.com/citation-style-language/schema/raw/master/csl-citation.json"} </w:instrText>
      </w:r>
      <w:r>
        <w:fldChar w:fldCharType="separate"/>
      </w:r>
      <w:r w:rsidRPr="001446B6">
        <w:rPr>
          <w:rFonts w:ascii="Calibri" w:hAnsi="Calibri" w:cs="Calibri"/>
        </w:rPr>
        <w:t>(Azose &amp; Raftery, 2019)</w:t>
      </w:r>
      <w:r>
        <w:fldChar w:fldCharType="end"/>
      </w:r>
      <w:r>
        <w:t xml:space="preserve">. According to estimated migrant flow and stock data, approximately 10% of immigrants return on average in a 5-year period </w:t>
      </w:r>
      <w:r>
        <w:fldChar w:fldCharType="begin"/>
      </w:r>
      <w:r>
        <w:instrText xml:space="preserve"> ADDIN ZOTERO_ITEM CSL_CITATION {"citationID":"ilrNDePz","properties":{"formattedCitation":"(Rikani &amp; Schewe, 2021)","plainCitation":"(Rikani &amp; Schewe, 2021)","noteIndex":0},"citationItems":[{"id":7612,"uris":["http://www.mendeley.com/documents/?uuid=5bc314ad-8f69-4b6a-9a35-f43d97782903","http://zotero.org/users/local/eKHIbq9c/items/XXZQYDSP"],"itemData":{"id":7612,"type":"article-journal","abstract":"BACKGROUND Anticipating changes in international migration patterns is useful for demographic studies and for designing policies that support the well-being of those involved. Existing forecasting methods do not account for a number of stylized facts that emerge from large-scale migration observations and theories: existing migrant communities - diasporas - act to lower migration costs and thereby provide a mechanism of self-amplification; return migration and transit migration are important components of global migration flows; and poverty constrains emigration. OBJECTIVE Here we present hindcasts and future projections of international migration that explicitly account for these nonlinear features. METHODS We develop a dynamic model that simulates migration flows by origin, destination, and place of birth. We calibrate the model using recently constructed global datasets of bilateral migration. RESULTS We show that the model reproduces past patterns and trends well based only on initial migrant stocks and changes in national incomes. We then project migration flows under future scenarios of global socioeconomic development. CONCLUSIONS Different assumptions about income levels and between-country inequality lead to markedly different migration trajectories, with migration flows either converging towards net zero if incomes in presently poor countries catch up with the rest of the world; or remaining high or even rising throughout the 21st century if economic development is slower and more unequal. Importantly, diasporas induce significant inertia and sizable return migration flows. CONTRIBUTION Our simulation model provides a versatile tool for assessing the impacts of different socioeconomic futures on international migration, accounting for important nonlinearities in migration drivers and flows.","container-title":"Demographic Research","DOI":"10.4054/DemRes.2021.45.4","ISSN":"1435-9871","issue":"July","note":"Citation Key: Rikani2021","page":"87-140","title":"Global bilateral migration projections accounting for diasporas, transit and return ﬂows, and poverty constraints","volume":"45","author":[{"family":"Rikani","given":"Albano"},{"family":"Schewe","given":"Jacob"}],"issued":{"date-parts":[["2021",7,8]]}}}],"schema":"https://github.com/citation-style-language/schema/raw/master/csl-citation.json"} </w:instrText>
      </w:r>
      <w:r>
        <w:fldChar w:fldCharType="separate"/>
      </w:r>
      <w:r w:rsidRPr="001446B6">
        <w:rPr>
          <w:rFonts w:ascii="Calibri" w:hAnsi="Calibri" w:cs="Calibri"/>
        </w:rPr>
        <w:t>(Rikani &amp; Schewe, 2021)</w:t>
      </w:r>
      <w:r>
        <w:fldChar w:fldCharType="end"/>
      </w:r>
      <w:r>
        <w:t xml:space="preserve">. This would constitute </w:t>
      </w:r>
      <w:proofErr w:type="gramStart"/>
      <w:r>
        <w:t>a negative feedback</w:t>
      </w:r>
      <w:proofErr w:type="gramEnd"/>
      <w:r>
        <w:t xml:space="preserve"> on changes in migrant stocks and population at risk, counteracting the positive feedbacks above; it underscores the importance of accounting for feedbacks between flows and stocks on long timescales, though again on short timescales it may be negligible.  </w:t>
      </w:r>
    </w:p>
    <w:p w14:paraId="6C495E6B" w14:textId="77777777" w:rsidR="00D91617" w:rsidRDefault="003D1AD6" w:rsidP="003D1AD6">
      <w:pPr>
        <w:pStyle w:val="Heading1"/>
      </w:pPr>
      <w:r>
        <w:t>References</w:t>
      </w:r>
    </w:p>
    <w:p w14:paraId="1FE86EC3" w14:textId="77777777" w:rsidR="006071AD" w:rsidRPr="006071AD" w:rsidRDefault="003D1AD6" w:rsidP="006071AD">
      <w:pPr>
        <w:pStyle w:val="Bibliography"/>
        <w:rPr>
          <w:rFonts w:ascii="Calibri" w:hAnsi="Calibri" w:cs="Calibri"/>
        </w:rPr>
      </w:pPr>
      <w:r>
        <w:fldChar w:fldCharType="begin"/>
      </w:r>
      <w:r>
        <w:instrText xml:space="preserve"> ADDIN ZOTERO_BIBL {"uncited":[],"omitted":[],"custom":[]} CSL_BIBLIOGRAPHY </w:instrText>
      </w:r>
      <w:r>
        <w:fldChar w:fldCharType="separate"/>
      </w:r>
      <w:r w:rsidR="006071AD" w:rsidRPr="006071AD">
        <w:rPr>
          <w:rFonts w:ascii="Calibri" w:hAnsi="Calibri" w:cs="Calibri"/>
        </w:rPr>
        <w:t xml:space="preserve">Azose, J. J., &amp; Raftery, A. E. (2019). Estimation of emigration, return migration, and transit migration between all pairs of countries. </w:t>
      </w:r>
      <w:r w:rsidR="006071AD" w:rsidRPr="006071AD">
        <w:rPr>
          <w:rFonts w:ascii="Calibri" w:hAnsi="Calibri" w:cs="Calibri"/>
          <w:i/>
          <w:iCs/>
        </w:rPr>
        <w:t>Proceedings of the National Academy of Sciences</w:t>
      </w:r>
      <w:r w:rsidR="006071AD" w:rsidRPr="006071AD">
        <w:rPr>
          <w:rFonts w:ascii="Calibri" w:hAnsi="Calibri" w:cs="Calibri"/>
        </w:rPr>
        <w:t xml:space="preserve">, </w:t>
      </w:r>
      <w:r w:rsidR="006071AD" w:rsidRPr="006071AD">
        <w:rPr>
          <w:rFonts w:ascii="Calibri" w:hAnsi="Calibri" w:cs="Calibri"/>
          <w:i/>
          <w:iCs/>
        </w:rPr>
        <w:t>116</w:t>
      </w:r>
      <w:r w:rsidR="006071AD" w:rsidRPr="006071AD">
        <w:rPr>
          <w:rFonts w:ascii="Calibri" w:hAnsi="Calibri" w:cs="Calibri"/>
        </w:rPr>
        <w:t>(1), 116–122. https://doi.org/10.1073/pnas.1722334116</w:t>
      </w:r>
    </w:p>
    <w:p w14:paraId="32EDE9CF" w14:textId="77777777" w:rsidR="006071AD" w:rsidRPr="006071AD" w:rsidRDefault="006071AD" w:rsidP="006071AD">
      <w:pPr>
        <w:pStyle w:val="Bibliography"/>
        <w:rPr>
          <w:rFonts w:ascii="Calibri" w:hAnsi="Calibri" w:cs="Calibri"/>
        </w:rPr>
      </w:pPr>
      <w:r w:rsidRPr="006071AD">
        <w:rPr>
          <w:rFonts w:ascii="Calibri" w:hAnsi="Calibri" w:cs="Calibri"/>
          <w:lang w:val="de-DE"/>
        </w:rPr>
        <w:t xml:space="preserve">Beine, M., Docquier, F., &amp; Özden, Ç. (2011). </w:t>
      </w:r>
      <w:r w:rsidRPr="006071AD">
        <w:rPr>
          <w:rFonts w:ascii="Calibri" w:hAnsi="Calibri" w:cs="Calibri"/>
        </w:rPr>
        <w:t xml:space="preserve">Diasporas. </w:t>
      </w:r>
      <w:r w:rsidRPr="006071AD">
        <w:rPr>
          <w:rFonts w:ascii="Calibri" w:hAnsi="Calibri" w:cs="Calibri"/>
          <w:i/>
          <w:iCs/>
        </w:rPr>
        <w:t>Journal of Development Economics</w:t>
      </w:r>
      <w:r w:rsidRPr="006071AD">
        <w:rPr>
          <w:rFonts w:ascii="Calibri" w:hAnsi="Calibri" w:cs="Calibri"/>
        </w:rPr>
        <w:t xml:space="preserve">, </w:t>
      </w:r>
      <w:r w:rsidRPr="006071AD">
        <w:rPr>
          <w:rFonts w:ascii="Calibri" w:hAnsi="Calibri" w:cs="Calibri"/>
          <w:i/>
          <w:iCs/>
        </w:rPr>
        <w:t>95</w:t>
      </w:r>
      <w:r w:rsidRPr="006071AD">
        <w:rPr>
          <w:rFonts w:ascii="Calibri" w:hAnsi="Calibri" w:cs="Calibri"/>
        </w:rPr>
        <w:t>(1), 30–41. https://doi.org/10.1016/j.jdeveco.2009.11.004</w:t>
      </w:r>
    </w:p>
    <w:p w14:paraId="6C2F822A" w14:textId="77777777" w:rsidR="006071AD" w:rsidRPr="006071AD" w:rsidRDefault="006071AD" w:rsidP="006071AD">
      <w:pPr>
        <w:pStyle w:val="Bibliography"/>
        <w:rPr>
          <w:rFonts w:ascii="Calibri" w:hAnsi="Calibri" w:cs="Calibri"/>
        </w:rPr>
      </w:pPr>
      <w:r w:rsidRPr="006071AD">
        <w:rPr>
          <w:rFonts w:ascii="Calibri" w:hAnsi="Calibri" w:cs="Calibri"/>
        </w:rPr>
        <w:t xml:space="preserve">Collier, P., &amp; Hoeffler, A. (2018). Migration, Diasporas and Culture: An Empirical Investigation. </w:t>
      </w:r>
      <w:r w:rsidRPr="006071AD">
        <w:rPr>
          <w:rFonts w:ascii="Calibri" w:hAnsi="Calibri" w:cs="Calibri"/>
          <w:i/>
          <w:iCs/>
        </w:rPr>
        <w:t>Kyklos</w:t>
      </w:r>
      <w:r w:rsidRPr="006071AD">
        <w:rPr>
          <w:rFonts w:ascii="Calibri" w:hAnsi="Calibri" w:cs="Calibri"/>
        </w:rPr>
        <w:t xml:space="preserve">, </w:t>
      </w:r>
      <w:r w:rsidRPr="006071AD">
        <w:rPr>
          <w:rFonts w:ascii="Calibri" w:hAnsi="Calibri" w:cs="Calibri"/>
          <w:i/>
          <w:iCs/>
        </w:rPr>
        <w:t>71</w:t>
      </w:r>
      <w:r w:rsidRPr="006071AD">
        <w:rPr>
          <w:rFonts w:ascii="Calibri" w:hAnsi="Calibri" w:cs="Calibri"/>
        </w:rPr>
        <w:t>(1), 86–109. https://doi.org/10.1111/kykl.12163</w:t>
      </w:r>
    </w:p>
    <w:p w14:paraId="75A16889" w14:textId="77777777" w:rsidR="006071AD" w:rsidRPr="006071AD" w:rsidRDefault="006071AD" w:rsidP="006071AD">
      <w:pPr>
        <w:pStyle w:val="Bibliography"/>
        <w:rPr>
          <w:rFonts w:ascii="Calibri" w:hAnsi="Calibri" w:cs="Calibri"/>
        </w:rPr>
      </w:pPr>
      <w:r w:rsidRPr="006071AD">
        <w:rPr>
          <w:rFonts w:ascii="Calibri" w:hAnsi="Calibri" w:cs="Calibri"/>
        </w:rPr>
        <w:t xml:space="preserve">de Haas, H. (2010). The Internal Dynamics of Migration Processes: A Theoretical Inquiry. </w:t>
      </w:r>
      <w:r w:rsidRPr="006071AD">
        <w:rPr>
          <w:rFonts w:ascii="Calibri" w:hAnsi="Calibri" w:cs="Calibri"/>
          <w:i/>
          <w:iCs/>
        </w:rPr>
        <w:t>Journal of Ethnic and Migration Studies</w:t>
      </w:r>
      <w:r w:rsidRPr="006071AD">
        <w:rPr>
          <w:rFonts w:ascii="Calibri" w:hAnsi="Calibri" w:cs="Calibri"/>
        </w:rPr>
        <w:t xml:space="preserve">, </w:t>
      </w:r>
      <w:r w:rsidRPr="006071AD">
        <w:rPr>
          <w:rFonts w:ascii="Calibri" w:hAnsi="Calibri" w:cs="Calibri"/>
          <w:i/>
          <w:iCs/>
        </w:rPr>
        <w:t>36</w:t>
      </w:r>
      <w:r w:rsidRPr="006071AD">
        <w:rPr>
          <w:rFonts w:ascii="Calibri" w:hAnsi="Calibri" w:cs="Calibri"/>
        </w:rPr>
        <w:t>(10), 1587–1617. https://doi.org/10.1080/1369183X.2010.489361</w:t>
      </w:r>
    </w:p>
    <w:p w14:paraId="4C344389" w14:textId="77777777" w:rsidR="006071AD" w:rsidRPr="006071AD" w:rsidRDefault="006071AD" w:rsidP="006071AD">
      <w:pPr>
        <w:pStyle w:val="Bibliography"/>
        <w:rPr>
          <w:rFonts w:ascii="Calibri" w:hAnsi="Calibri" w:cs="Calibri"/>
        </w:rPr>
      </w:pPr>
      <w:r w:rsidRPr="006071AD">
        <w:rPr>
          <w:rFonts w:ascii="Calibri" w:hAnsi="Calibri" w:cs="Calibri"/>
          <w:lang w:val="de-DE"/>
        </w:rPr>
        <w:t xml:space="preserve">Marchiori, L., Maystadt, J.-F., &amp; Schumacher, I. (2012). </w:t>
      </w:r>
      <w:r w:rsidRPr="006071AD">
        <w:rPr>
          <w:rFonts w:ascii="Calibri" w:hAnsi="Calibri" w:cs="Calibri"/>
        </w:rPr>
        <w:t xml:space="preserve">The impact of weather anomalies on migration in sub-Saharan Africa. </w:t>
      </w:r>
      <w:r w:rsidRPr="006071AD">
        <w:rPr>
          <w:rFonts w:ascii="Calibri" w:hAnsi="Calibri" w:cs="Calibri"/>
          <w:i/>
          <w:iCs/>
        </w:rPr>
        <w:t>Journal of Environmental Economics and Management</w:t>
      </w:r>
      <w:r w:rsidRPr="006071AD">
        <w:rPr>
          <w:rFonts w:ascii="Calibri" w:hAnsi="Calibri" w:cs="Calibri"/>
        </w:rPr>
        <w:t xml:space="preserve">, </w:t>
      </w:r>
      <w:r w:rsidRPr="006071AD">
        <w:rPr>
          <w:rFonts w:ascii="Calibri" w:hAnsi="Calibri" w:cs="Calibri"/>
          <w:i/>
          <w:iCs/>
        </w:rPr>
        <w:t>63</w:t>
      </w:r>
      <w:r w:rsidRPr="006071AD">
        <w:rPr>
          <w:rFonts w:ascii="Calibri" w:hAnsi="Calibri" w:cs="Calibri"/>
        </w:rPr>
        <w:t>(3), 355–374. https://doi.org/10.1016/j.jeem.2012.02.001</w:t>
      </w:r>
    </w:p>
    <w:p w14:paraId="0C0FAAAD" w14:textId="77777777" w:rsidR="006071AD" w:rsidRPr="006071AD" w:rsidRDefault="006071AD" w:rsidP="006071AD">
      <w:pPr>
        <w:pStyle w:val="Bibliography"/>
        <w:rPr>
          <w:rFonts w:ascii="Calibri" w:hAnsi="Calibri" w:cs="Calibri"/>
        </w:rPr>
      </w:pPr>
      <w:r w:rsidRPr="006071AD">
        <w:rPr>
          <w:rFonts w:ascii="Calibri" w:hAnsi="Calibri" w:cs="Calibri"/>
        </w:rPr>
        <w:t xml:space="preserve">Rikani, A., &amp; Schewe, J. (2021). Global bilateral migration projections accounting for diasporas, transit and return ﬂows, and poverty constraints. </w:t>
      </w:r>
      <w:r w:rsidRPr="006071AD">
        <w:rPr>
          <w:rFonts w:ascii="Calibri" w:hAnsi="Calibri" w:cs="Calibri"/>
          <w:i/>
          <w:iCs/>
        </w:rPr>
        <w:t>Demographic Research</w:t>
      </w:r>
      <w:r w:rsidRPr="006071AD">
        <w:rPr>
          <w:rFonts w:ascii="Calibri" w:hAnsi="Calibri" w:cs="Calibri"/>
        </w:rPr>
        <w:t xml:space="preserve">, </w:t>
      </w:r>
      <w:r w:rsidRPr="006071AD">
        <w:rPr>
          <w:rFonts w:ascii="Calibri" w:hAnsi="Calibri" w:cs="Calibri"/>
          <w:i/>
          <w:iCs/>
        </w:rPr>
        <w:t>45</w:t>
      </w:r>
      <w:r w:rsidRPr="006071AD">
        <w:rPr>
          <w:rFonts w:ascii="Calibri" w:hAnsi="Calibri" w:cs="Calibri"/>
        </w:rPr>
        <w:t>(July), 87–140. https://doi.org/10.4054/DemRes.2021.45.4</w:t>
      </w:r>
    </w:p>
    <w:p w14:paraId="3694FE74" w14:textId="12B2BBB3" w:rsidR="003D1AD6" w:rsidRDefault="003D1AD6">
      <w:r>
        <w:fldChar w:fldCharType="end"/>
      </w:r>
    </w:p>
    <w:sectPr w:rsidR="003D1AD6">
      <w:pgSz w:w="12240" w:h="15840"/>
      <w:pgMar w:top="1417" w:right="1417" w:bottom="1134"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CAB4BB0" w14:textId="77777777" w:rsidR="005C77AF" w:rsidRDefault="005C77AF" w:rsidP="00A434D4">
      <w:pPr>
        <w:spacing w:after="0" w:line="240" w:lineRule="auto"/>
      </w:pPr>
      <w:r>
        <w:separator/>
      </w:r>
    </w:p>
  </w:endnote>
  <w:endnote w:type="continuationSeparator" w:id="0">
    <w:p w14:paraId="0AA02651" w14:textId="77777777" w:rsidR="005C77AF" w:rsidRDefault="005C77AF" w:rsidP="00A434D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3DC42E7" w14:textId="77777777" w:rsidR="005C77AF" w:rsidRDefault="005C77AF" w:rsidP="00A434D4">
      <w:pPr>
        <w:spacing w:after="0" w:line="240" w:lineRule="auto"/>
      </w:pPr>
      <w:r>
        <w:separator/>
      </w:r>
    </w:p>
  </w:footnote>
  <w:footnote w:type="continuationSeparator" w:id="0">
    <w:p w14:paraId="1A236C7F" w14:textId="77777777" w:rsidR="005C77AF" w:rsidRDefault="005C77AF" w:rsidP="00A434D4">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434D4"/>
    <w:rsid w:val="000166E6"/>
    <w:rsid w:val="0007317D"/>
    <w:rsid w:val="001A273F"/>
    <w:rsid w:val="002C2893"/>
    <w:rsid w:val="00392955"/>
    <w:rsid w:val="003C67C8"/>
    <w:rsid w:val="003D1AD6"/>
    <w:rsid w:val="003F35E4"/>
    <w:rsid w:val="00447D26"/>
    <w:rsid w:val="005C77AF"/>
    <w:rsid w:val="006071AD"/>
    <w:rsid w:val="006506D7"/>
    <w:rsid w:val="006D5157"/>
    <w:rsid w:val="00752F99"/>
    <w:rsid w:val="007C362D"/>
    <w:rsid w:val="008C2653"/>
    <w:rsid w:val="009B63DE"/>
    <w:rsid w:val="00A434D4"/>
    <w:rsid w:val="00B83CB1"/>
    <w:rsid w:val="00C12333"/>
    <w:rsid w:val="00C44B25"/>
    <w:rsid w:val="00C60119"/>
    <w:rsid w:val="00C655BB"/>
    <w:rsid w:val="00CB2E47"/>
    <w:rsid w:val="00CC143F"/>
    <w:rsid w:val="00CD6D5C"/>
    <w:rsid w:val="00D31799"/>
    <w:rsid w:val="00D91617"/>
    <w:rsid w:val="00DE7D0C"/>
    <w:rsid w:val="00E26827"/>
    <w:rsid w:val="00F619E1"/>
    <w:rsid w:val="00F80CC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408354E"/>
  <w15:chartTrackingRefBased/>
  <w15:docId w15:val="{92E58D8D-618C-499E-B24E-15717C42BC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434D4"/>
  </w:style>
  <w:style w:type="paragraph" w:styleId="Heading1">
    <w:name w:val="heading 1"/>
    <w:basedOn w:val="Normal"/>
    <w:next w:val="Normal"/>
    <w:link w:val="Heading1Char"/>
    <w:uiPriority w:val="9"/>
    <w:qFormat/>
    <w:rsid w:val="00C12333"/>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next w:val="Normal"/>
    <w:link w:val="Heading2Char"/>
    <w:uiPriority w:val="9"/>
    <w:unhideWhenUsed/>
    <w:qFormat/>
    <w:rsid w:val="00C12333"/>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Heading3">
    <w:name w:val="heading 3"/>
    <w:basedOn w:val="Normal"/>
    <w:next w:val="Normal"/>
    <w:link w:val="Heading3Char"/>
    <w:uiPriority w:val="9"/>
    <w:unhideWhenUsed/>
    <w:qFormat/>
    <w:rsid w:val="00A434D4"/>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3Char">
    <w:name w:val="Heading 3 Char"/>
    <w:basedOn w:val="DefaultParagraphFont"/>
    <w:link w:val="Heading3"/>
    <w:uiPriority w:val="9"/>
    <w:rsid w:val="00A434D4"/>
    <w:rPr>
      <w:rFonts w:asciiTheme="majorHAnsi" w:eastAsiaTheme="majorEastAsia" w:hAnsiTheme="majorHAnsi" w:cstheme="majorBidi"/>
      <w:color w:val="1F4D78" w:themeColor="accent1" w:themeShade="7F"/>
      <w:sz w:val="24"/>
      <w:szCs w:val="24"/>
    </w:rPr>
  </w:style>
  <w:style w:type="paragraph" w:styleId="FootnoteText">
    <w:name w:val="footnote text"/>
    <w:basedOn w:val="Normal"/>
    <w:link w:val="FootnoteTextChar"/>
    <w:uiPriority w:val="99"/>
    <w:semiHidden/>
    <w:unhideWhenUsed/>
    <w:rsid w:val="00A434D4"/>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A434D4"/>
    <w:rPr>
      <w:sz w:val="20"/>
      <w:szCs w:val="20"/>
    </w:rPr>
  </w:style>
  <w:style w:type="character" w:styleId="FootnoteReference">
    <w:name w:val="footnote reference"/>
    <w:basedOn w:val="DefaultParagraphFont"/>
    <w:uiPriority w:val="99"/>
    <w:semiHidden/>
    <w:unhideWhenUsed/>
    <w:rsid w:val="00A434D4"/>
    <w:rPr>
      <w:vertAlign w:val="superscript"/>
    </w:rPr>
  </w:style>
  <w:style w:type="paragraph" w:styleId="Title">
    <w:name w:val="Title"/>
    <w:basedOn w:val="Normal"/>
    <w:next w:val="Normal"/>
    <w:link w:val="TitleChar"/>
    <w:uiPriority w:val="10"/>
    <w:qFormat/>
    <w:rsid w:val="00C12333"/>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C12333"/>
    <w:rPr>
      <w:rFonts w:asciiTheme="majorHAnsi" w:eastAsiaTheme="majorEastAsia" w:hAnsiTheme="majorHAnsi" w:cstheme="majorBidi"/>
      <w:spacing w:val="-10"/>
      <w:kern w:val="28"/>
      <w:sz w:val="56"/>
      <w:szCs w:val="56"/>
    </w:rPr>
  </w:style>
  <w:style w:type="character" w:styleId="Strong">
    <w:name w:val="Strong"/>
    <w:basedOn w:val="DefaultParagraphFont"/>
    <w:uiPriority w:val="22"/>
    <w:qFormat/>
    <w:rsid w:val="00C12333"/>
    <w:rPr>
      <w:b/>
      <w:bCs/>
    </w:rPr>
  </w:style>
  <w:style w:type="character" w:customStyle="1" w:styleId="Heading1Char">
    <w:name w:val="Heading 1 Char"/>
    <w:basedOn w:val="DefaultParagraphFont"/>
    <w:link w:val="Heading1"/>
    <w:uiPriority w:val="9"/>
    <w:rsid w:val="00C12333"/>
    <w:rPr>
      <w:rFonts w:asciiTheme="majorHAnsi" w:eastAsiaTheme="majorEastAsia" w:hAnsiTheme="majorHAnsi" w:cstheme="majorBidi"/>
      <w:color w:val="2E74B5" w:themeColor="accent1" w:themeShade="BF"/>
      <w:sz w:val="32"/>
      <w:szCs w:val="32"/>
    </w:rPr>
  </w:style>
  <w:style w:type="character" w:customStyle="1" w:styleId="Heading2Char">
    <w:name w:val="Heading 2 Char"/>
    <w:basedOn w:val="DefaultParagraphFont"/>
    <w:link w:val="Heading2"/>
    <w:uiPriority w:val="9"/>
    <w:rsid w:val="00C12333"/>
    <w:rPr>
      <w:rFonts w:asciiTheme="majorHAnsi" w:eastAsiaTheme="majorEastAsia" w:hAnsiTheme="majorHAnsi" w:cstheme="majorBidi"/>
      <w:color w:val="2E74B5" w:themeColor="accent1" w:themeShade="BF"/>
      <w:sz w:val="26"/>
      <w:szCs w:val="26"/>
    </w:rPr>
  </w:style>
  <w:style w:type="paragraph" w:styleId="Bibliography">
    <w:name w:val="Bibliography"/>
    <w:basedOn w:val="Normal"/>
    <w:next w:val="Normal"/>
    <w:uiPriority w:val="37"/>
    <w:unhideWhenUsed/>
    <w:rsid w:val="003D1AD6"/>
    <w:pPr>
      <w:spacing w:after="0" w:line="480" w:lineRule="auto"/>
      <w:ind w:left="720" w:hanging="720"/>
    </w:pPr>
  </w:style>
  <w:style w:type="character" w:styleId="CommentReference">
    <w:name w:val="annotation reference"/>
    <w:basedOn w:val="DefaultParagraphFont"/>
    <w:uiPriority w:val="99"/>
    <w:semiHidden/>
    <w:unhideWhenUsed/>
    <w:rsid w:val="00CD6D5C"/>
    <w:rPr>
      <w:sz w:val="16"/>
      <w:szCs w:val="16"/>
    </w:rPr>
  </w:style>
  <w:style w:type="paragraph" w:styleId="CommentText">
    <w:name w:val="annotation text"/>
    <w:basedOn w:val="Normal"/>
    <w:link w:val="CommentTextChar"/>
    <w:uiPriority w:val="99"/>
    <w:semiHidden/>
    <w:unhideWhenUsed/>
    <w:rsid w:val="00CD6D5C"/>
    <w:pPr>
      <w:spacing w:line="240" w:lineRule="auto"/>
    </w:pPr>
    <w:rPr>
      <w:sz w:val="20"/>
      <w:szCs w:val="20"/>
    </w:rPr>
  </w:style>
  <w:style w:type="character" w:customStyle="1" w:styleId="CommentTextChar">
    <w:name w:val="Comment Text Char"/>
    <w:basedOn w:val="DefaultParagraphFont"/>
    <w:link w:val="CommentText"/>
    <w:uiPriority w:val="99"/>
    <w:semiHidden/>
    <w:rsid w:val="00CD6D5C"/>
    <w:rPr>
      <w:sz w:val="20"/>
      <w:szCs w:val="20"/>
    </w:rPr>
  </w:style>
  <w:style w:type="paragraph" w:styleId="CommentSubject">
    <w:name w:val="annotation subject"/>
    <w:basedOn w:val="CommentText"/>
    <w:next w:val="CommentText"/>
    <w:link w:val="CommentSubjectChar"/>
    <w:uiPriority w:val="99"/>
    <w:semiHidden/>
    <w:unhideWhenUsed/>
    <w:rsid w:val="00CD6D5C"/>
    <w:rPr>
      <w:b/>
      <w:bCs/>
    </w:rPr>
  </w:style>
  <w:style w:type="character" w:customStyle="1" w:styleId="CommentSubjectChar">
    <w:name w:val="Comment Subject Char"/>
    <w:basedOn w:val="CommentTextChar"/>
    <w:link w:val="CommentSubject"/>
    <w:uiPriority w:val="99"/>
    <w:semiHidden/>
    <w:rsid w:val="00CD6D5C"/>
    <w:rPr>
      <w:b/>
      <w:bCs/>
      <w:sz w:val="20"/>
      <w:szCs w:val="20"/>
    </w:rPr>
  </w:style>
  <w:style w:type="paragraph" w:styleId="BalloonText">
    <w:name w:val="Balloon Text"/>
    <w:basedOn w:val="Normal"/>
    <w:link w:val="BalloonTextChar"/>
    <w:uiPriority w:val="99"/>
    <w:semiHidden/>
    <w:unhideWhenUsed/>
    <w:rsid w:val="00CD6D5C"/>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CD6D5C"/>
    <w:rPr>
      <w:rFonts w:ascii="Segoe UI" w:hAnsi="Segoe UI" w:cs="Segoe UI"/>
      <w:sz w:val="18"/>
      <w:szCs w:val="18"/>
    </w:rPr>
  </w:style>
  <w:style w:type="character" w:styleId="EndnoteReference">
    <w:name w:val="endnote reference"/>
    <w:basedOn w:val="DefaultParagraphFont"/>
    <w:uiPriority w:val="99"/>
    <w:semiHidden/>
    <w:unhideWhenUsed/>
    <w:rsid w:val="00B83CB1"/>
    <w:rPr>
      <w:vertAlign w:val="superscript"/>
    </w:rPr>
  </w:style>
  <w:style w:type="paragraph" w:styleId="Caption">
    <w:name w:val="caption"/>
    <w:basedOn w:val="Normal"/>
    <w:next w:val="Normal"/>
    <w:uiPriority w:val="35"/>
    <w:semiHidden/>
    <w:unhideWhenUsed/>
    <w:qFormat/>
    <w:rsid w:val="00D31799"/>
    <w:pPr>
      <w:spacing w:after="200" w:line="240" w:lineRule="auto"/>
    </w:pPr>
    <w:rPr>
      <w:i/>
      <w:iCs/>
      <w:color w:val="44546A" w:themeColor="text2"/>
      <w:sz w:val="18"/>
      <w:szCs w:val="18"/>
    </w:rPr>
  </w:style>
  <w:style w:type="table" w:styleId="TableGrid">
    <w:name w:val="Table Grid"/>
    <w:basedOn w:val="TableNormal"/>
    <w:uiPriority w:val="39"/>
    <w:rsid w:val="00D31799"/>
    <w:pPr>
      <w:spacing w:after="0" w:line="240" w:lineRule="auto"/>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8380383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3</Pages>
  <Words>5989</Words>
  <Characters>34019</Characters>
  <Application>Microsoft Office Word</Application>
  <DocSecurity>0</DocSecurity>
  <Lines>596</Lines>
  <Paragraphs>110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39898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Jacob Schewe</dc:creator>
  <cp:keywords/>
  <dc:description/>
  <cp:lastModifiedBy>Jacob Schewe</cp:lastModifiedBy>
  <cp:revision>2</cp:revision>
  <dcterms:created xsi:type="dcterms:W3CDTF">2025-04-07T11:37:00Z</dcterms:created>
  <dcterms:modified xsi:type="dcterms:W3CDTF">2025-04-07T11:37:00Z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zotero-version="7.0.11"&gt;&lt;session id="x5dxvbjB"/&gt;&lt;style id="http://www.zotero.org/styles/apa" locale="en-US" hasBibliography="1" bibliographyStyleHasBeenSet="1"/&gt;&lt;prefs&gt;&lt;pref name="fieldType" value="Field"/&gt;&lt;/prefs&gt;&lt;/data&gt;</vt:lpwstr>
  </property>
</Properties>
</file>