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68394" w14:textId="77777777" w:rsidR="000055AD" w:rsidRDefault="004B772A">
      <w:pPr>
        <w:spacing w:line="240" w:lineRule="auto"/>
        <w:jc w:val="center"/>
        <w:rPr>
          <w:rFonts w:eastAsia="Times New Roman" w:cs="Times New Roman"/>
          <w:b/>
          <w:bCs/>
          <w:color w:val="000000"/>
          <w:sz w:val="32"/>
          <w:szCs w:val="32"/>
        </w:rPr>
      </w:pPr>
      <w:r>
        <w:rPr>
          <w:rFonts w:eastAsia="Times New Roman" w:cs="Times New Roman"/>
          <w:b/>
          <w:bCs/>
          <w:color w:val="000000"/>
          <w:sz w:val="32"/>
          <w:szCs w:val="32"/>
        </w:rPr>
        <w:t>Context factors for effective sectoral climate policies</w:t>
      </w:r>
      <w:r>
        <w:rPr>
          <w:b/>
          <w:bCs/>
          <w:color w:val="000000"/>
          <w:sz w:val="32"/>
          <w:szCs w:val="32"/>
        </w:rPr>
        <w:t xml:space="preserve"> in the energy sector</w:t>
      </w:r>
      <w:r>
        <w:rPr>
          <w:rFonts w:eastAsia="Times New Roman" w:cs="Times New Roman"/>
          <w:b/>
          <w:bCs/>
          <w:color w:val="000000"/>
          <w:sz w:val="32"/>
          <w:szCs w:val="32"/>
        </w:rPr>
        <w:t>:</w:t>
      </w:r>
    </w:p>
    <w:p w14:paraId="3502BF80" w14:textId="77777777" w:rsidR="000055AD" w:rsidRDefault="004B772A">
      <w:pPr>
        <w:spacing w:line="240" w:lineRule="auto"/>
        <w:ind w:firstLine="705"/>
        <w:jc w:val="center"/>
        <w:rPr>
          <w:rFonts w:eastAsia="Times New Roman" w:cs="Times New Roman"/>
          <w:sz w:val="18"/>
          <w:szCs w:val="18"/>
        </w:rPr>
      </w:pPr>
      <w:r>
        <w:rPr>
          <w:rFonts w:eastAsia="Times New Roman" w:cs="Times New Roman"/>
          <w:b/>
          <w:bCs/>
          <w:color w:val="000000"/>
          <w:sz w:val="32"/>
          <w:szCs w:val="32"/>
        </w:rPr>
        <w:t>An overview of entry points</w:t>
      </w:r>
    </w:p>
    <w:p w14:paraId="4579595B"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5B65D950"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6D4EC96C"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02921BA4"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3A3B092B"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05DB7F02"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50A425AD"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44462F4B"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53913B18" w14:textId="77777777" w:rsidR="000055AD" w:rsidRDefault="000055AD">
      <w:pPr>
        <w:spacing w:line="240" w:lineRule="auto"/>
        <w:ind w:firstLine="705"/>
        <w:rPr>
          <w:rFonts w:eastAsia="Times New Roman" w:cs="Times New Roman"/>
          <w:sz w:val="18"/>
          <w:szCs w:val="18"/>
        </w:rPr>
      </w:pPr>
    </w:p>
    <w:p w14:paraId="0594E250"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3BBABB54" w14:textId="77777777" w:rsidR="000055AD" w:rsidRDefault="004B772A">
      <w:pPr>
        <w:spacing w:line="240" w:lineRule="auto"/>
        <w:ind w:firstLine="705"/>
        <w:rPr>
          <w:rFonts w:eastAsia="Times New Roman" w:cs="Times New Roman"/>
          <w:sz w:val="24"/>
          <w:szCs w:val="24"/>
        </w:rPr>
      </w:pPr>
      <w:r>
        <w:rPr>
          <w:rFonts w:eastAsia="Times New Roman" w:cs="Times New Roman"/>
          <w:sz w:val="24"/>
          <w:szCs w:val="24"/>
        </w:rPr>
        <w:t> </w:t>
      </w:r>
    </w:p>
    <w:p w14:paraId="05B15C10" w14:textId="77777777" w:rsidR="000055AD" w:rsidRDefault="004B772A">
      <w:pPr>
        <w:spacing w:line="240" w:lineRule="auto"/>
        <w:jc w:val="center"/>
        <w:rPr>
          <w:rFonts w:eastAsia="Times New Roman" w:cs="Times New Roman"/>
          <w:smallCaps/>
          <w:sz w:val="40"/>
          <w:szCs w:val="40"/>
        </w:rPr>
      </w:pPr>
      <w:r>
        <w:rPr>
          <w:rFonts w:eastAsia="Times New Roman" w:cs="Times New Roman"/>
          <w:b/>
          <w:bCs/>
          <w:smallCaps/>
          <w:color w:val="000000"/>
          <w:sz w:val="40"/>
          <w:szCs w:val="40"/>
        </w:rPr>
        <w:t>Online Appendix</w:t>
      </w:r>
    </w:p>
    <w:p w14:paraId="00257D6D" w14:textId="77777777" w:rsidR="000055AD" w:rsidRDefault="000055AD">
      <w:pPr>
        <w:spacing w:line="240" w:lineRule="auto"/>
        <w:ind w:firstLine="705"/>
        <w:rPr>
          <w:rFonts w:eastAsia="Times New Roman" w:cs="Times New Roman"/>
          <w:sz w:val="18"/>
          <w:szCs w:val="18"/>
        </w:rPr>
      </w:pPr>
    </w:p>
    <w:p w14:paraId="39496722"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50066775"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20BBCF25"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60067789"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7324AC57"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60F4832F"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1F598C66"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496BF53A"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4DAB998C"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28E2C3BE" w14:textId="77777777" w:rsidR="00051DDE" w:rsidRPr="00051DDE" w:rsidRDefault="004B772A" w:rsidP="00051DDE">
      <w:pPr>
        <w:jc w:val="center"/>
        <w:rPr>
          <w:rFonts w:cstheme="minorHAnsi"/>
          <w:bCs/>
          <w:color w:val="000000" w:themeColor="text1"/>
        </w:rPr>
      </w:pPr>
      <w:r w:rsidRPr="00051DDE">
        <w:rPr>
          <w:rFonts w:eastAsia="Times New Roman" w:cs="Times New Roman"/>
          <w:color w:val="000000" w:themeColor="text1"/>
          <w:sz w:val="24"/>
          <w:szCs w:val="24"/>
        </w:rPr>
        <w:t> </w:t>
      </w:r>
      <w:proofErr w:type="spellStart"/>
      <w:r w:rsidR="00051DDE" w:rsidRPr="00051DDE">
        <w:rPr>
          <w:rFonts w:cstheme="minorHAnsi"/>
          <w:bCs/>
          <w:color w:val="000000" w:themeColor="text1"/>
        </w:rPr>
        <w:t>Rahel</w:t>
      </w:r>
      <w:proofErr w:type="spellEnd"/>
      <w:r w:rsidR="00051DDE" w:rsidRPr="00051DDE">
        <w:rPr>
          <w:rFonts w:cstheme="minorHAnsi"/>
          <w:bCs/>
          <w:color w:val="000000" w:themeColor="text1"/>
        </w:rPr>
        <w:t xml:space="preserve"> </w:t>
      </w:r>
      <w:proofErr w:type="spellStart"/>
      <w:r w:rsidR="00051DDE" w:rsidRPr="00051DDE">
        <w:rPr>
          <w:rFonts w:cstheme="minorHAnsi"/>
          <w:bCs/>
          <w:color w:val="000000" w:themeColor="text1"/>
        </w:rPr>
        <w:t>Mandaroux</w:t>
      </w:r>
      <w:r w:rsidR="00051DDE" w:rsidRPr="00051DDE">
        <w:rPr>
          <w:rFonts w:cstheme="minorHAnsi"/>
          <w:bCs/>
          <w:color w:val="000000" w:themeColor="text1"/>
          <w:vertAlign w:val="superscript"/>
        </w:rPr>
        <w:t>a</w:t>
      </w:r>
      <w:proofErr w:type="spellEnd"/>
      <w:r w:rsidR="00051DDE" w:rsidRPr="00051DDE">
        <w:rPr>
          <w:rFonts w:cstheme="minorHAnsi"/>
          <w:bCs/>
          <w:color w:val="000000" w:themeColor="text1"/>
        </w:rPr>
        <w:t xml:space="preserve">, Sophie </w:t>
      </w:r>
      <w:proofErr w:type="spellStart"/>
      <w:r w:rsidR="00051DDE" w:rsidRPr="00051DDE">
        <w:rPr>
          <w:rFonts w:cstheme="minorHAnsi"/>
          <w:bCs/>
          <w:color w:val="000000" w:themeColor="text1"/>
        </w:rPr>
        <w:t>Fuchs</w:t>
      </w:r>
      <w:r w:rsidR="00051DDE" w:rsidRPr="00051DDE">
        <w:rPr>
          <w:rFonts w:cstheme="minorHAnsi"/>
          <w:bCs/>
          <w:color w:val="000000" w:themeColor="text1"/>
          <w:vertAlign w:val="superscript"/>
        </w:rPr>
        <w:t>a</w:t>
      </w:r>
      <w:proofErr w:type="spellEnd"/>
      <w:r w:rsidR="00051DDE" w:rsidRPr="00051DDE">
        <w:rPr>
          <w:rFonts w:cstheme="minorHAnsi"/>
          <w:bCs/>
          <w:color w:val="000000" w:themeColor="text1"/>
        </w:rPr>
        <w:t>,</w:t>
      </w:r>
      <w:r w:rsidR="00051DDE" w:rsidRPr="00051DDE">
        <w:rPr>
          <w:color w:val="000000" w:themeColor="text1"/>
        </w:rPr>
        <w:t xml:space="preserve"> </w:t>
      </w:r>
      <w:r w:rsidR="00051DDE" w:rsidRPr="00051DDE">
        <w:rPr>
          <w:rFonts w:cstheme="minorHAnsi"/>
          <w:bCs/>
          <w:color w:val="000000" w:themeColor="text1"/>
        </w:rPr>
        <w:t xml:space="preserve">Vignesh </w:t>
      </w:r>
      <w:proofErr w:type="spellStart"/>
      <w:proofErr w:type="gramStart"/>
      <w:r w:rsidR="00051DDE" w:rsidRPr="00051DDE">
        <w:rPr>
          <w:rFonts w:cstheme="minorHAnsi"/>
          <w:bCs/>
          <w:color w:val="000000" w:themeColor="text1"/>
        </w:rPr>
        <w:t>Raghunathan</w:t>
      </w:r>
      <w:r w:rsidR="00051DDE" w:rsidRPr="00051DDE">
        <w:rPr>
          <w:rFonts w:cstheme="minorHAnsi"/>
          <w:bCs/>
          <w:color w:val="000000" w:themeColor="text1"/>
          <w:vertAlign w:val="superscript"/>
        </w:rPr>
        <w:t>a,b</w:t>
      </w:r>
      <w:proofErr w:type="gramEnd"/>
      <w:r w:rsidR="00051DDE" w:rsidRPr="00051DDE">
        <w:rPr>
          <w:rFonts w:cstheme="minorHAnsi"/>
          <w:bCs/>
          <w:color w:val="000000" w:themeColor="text1"/>
          <w:vertAlign w:val="superscript"/>
        </w:rPr>
        <w:t>,c</w:t>
      </w:r>
      <w:proofErr w:type="spellEnd"/>
    </w:p>
    <w:p w14:paraId="4B2E63C7" w14:textId="1E7C0646" w:rsidR="000055AD" w:rsidRDefault="000055AD">
      <w:pPr>
        <w:spacing w:line="240" w:lineRule="auto"/>
        <w:ind w:firstLine="705"/>
        <w:rPr>
          <w:rFonts w:eastAsia="Times New Roman" w:cs="Times New Roman"/>
          <w:sz w:val="18"/>
          <w:szCs w:val="18"/>
        </w:rPr>
      </w:pPr>
    </w:p>
    <w:p w14:paraId="4DB6B3EA"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7521040D"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0EA56415"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79FD28C1"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00117DFC"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3A1AE86A"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3553095F"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4D9B40FA"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58188AE4" w14:textId="77777777" w:rsidR="000055AD" w:rsidRDefault="004B772A">
      <w:pPr>
        <w:spacing w:line="240" w:lineRule="auto"/>
        <w:ind w:firstLine="705"/>
        <w:rPr>
          <w:rFonts w:eastAsia="Times New Roman" w:cs="Times New Roman"/>
          <w:sz w:val="18"/>
          <w:szCs w:val="18"/>
        </w:rPr>
      </w:pPr>
      <w:r>
        <w:rPr>
          <w:rFonts w:eastAsia="Times New Roman" w:cs="Times New Roman"/>
          <w:sz w:val="24"/>
          <w:szCs w:val="24"/>
        </w:rPr>
        <w:t> </w:t>
      </w:r>
    </w:p>
    <w:p w14:paraId="40951F06" w14:textId="77777777" w:rsidR="000055AD" w:rsidRDefault="004B772A">
      <w:pPr>
        <w:spacing w:line="240" w:lineRule="auto"/>
        <w:rPr>
          <w:rFonts w:eastAsia="Times New Roman" w:cs="Times New Roman"/>
          <w:sz w:val="18"/>
          <w:szCs w:val="18"/>
        </w:rPr>
      </w:pPr>
      <w:r>
        <w:rPr>
          <w:rFonts w:eastAsia="Times New Roman" w:cs="Times New Roman"/>
          <w:b/>
          <w:bCs/>
          <w:sz w:val="24"/>
          <w:szCs w:val="24"/>
        </w:rPr>
        <w:t>Abstract.</w:t>
      </w:r>
      <w:r>
        <w:rPr>
          <w:rFonts w:eastAsia="Times New Roman" w:cs="Times New Roman"/>
          <w:sz w:val="24"/>
          <w:szCs w:val="24"/>
        </w:rPr>
        <w:t> </w:t>
      </w:r>
    </w:p>
    <w:p w14:paraId="33D40CFC" w14:textId="77777777" w:rsidR="000055AD" w:rsidRDefault="004B772A">
      <w:pPr>
        <w:spacing w:line="240" w:lineRule="auto"/>
        <w:rPr>
          <w:rFonts w:eastAsia="Times New Roman" w:cs="Times New Roman"/>
          <w:sz w:val="24"/>
          <w:szCs w:val="24"/>
        </w:rPr>
      </w:pPr>
      <w:r>
        <w:rPr>
          <w:rFonts w:eastAsia="Times New Roman" w:cs="Times New Roman"/>
          <w:sz w:val="24"/>
          <w:szCs w:val="24"/>
        </w:rPr>
        <w:t>This Online Appendix provides additional information about the manuscript and consists of the following online appendices: </w:t>
      </w:r>
    </w:p>
    <w:p w14:paraId="6902F749" w14:textId="77777777" w:rsidR="000055AD" w:rsidRDefault="000055AD">
      <w:pPr>
        <w:spacing w:line="240" w:lineRule="auto"/>
        <w:rPr>
          <w:rFonts w:eastAsia="Times New Roman" w:cs="Times New Roman"/>
          <w:sz w:val="18"/>
          <w:szCs w:val="18"/>
        </w:rPr>
      </w:pPr>
    </w:p>
    <w:p w14:paraId="31D5A042" w14:textId="77777777" w:rsidR="000055AD" w:rsidRDefault="004B772A">
      <w:pPr>
        <w:spacing w:line="240" w:lineRule="auto"/>
        <w:rPr>
          <w:rFonts w:eastAsia="Times New Roman" w:cs="Times New Roman"/>
          <w:sz w:val="18"/>
          <w:szCs w:val="18"/>
        </w:rPr>
      </w:pPr>
      <w:r>
        <w:rPr>
          <w:rFonts w:eastAsia="Times New Roman" w:cs="Times New Roman"/>
          <w:sz w:val="24"/>
          <w:szCs w:val="24"/>
        </w:rPr>
        <w:t>Online Appendix A: Research identification</w:t>
      </w:r>
    </w:p>
    <w:p w14:paraId="6B71DDAA" w14:textId="77777777" w:rsidR="000055AD" w:rsidRDefault="004B772A">
      <w:pPr>
        <w:spacing w:line="240" w:lineRule="auto"/>
        <w:rPr>
          <w:rFonts w:eastAsia="Times New Roman" w:cs="Times New Roman"/>
          <w:sz w:val="24"/>
          <w:szCs w:val="24"/>
        </w:rPr>
      </w:pPr>
      <w:r>
        <w:rPr>
          <w:rFonts w:eastAsia="Times New Roman" w:cs="Times New Roman"/>
          <w:sz w:val="24"/>
          <w:szCs w:val="24"/>
        </w:rPr>
        <w:t>Online Appendix B: Article Screening</w:t>
      </w:r>
    </w:p>
    <w:p w14:paraId="0A51ACDC" w14:textId="77777777" w:rsidR="000055AD" w:rsidRDefault="004B772A">
      <w:pPr>
        <w:spacing w:line="240" w:lineRule="auto"/>
        <w:rPr>
          <w:rFonts w:eastAsia="Times New Roman" w:cs="Times New Roman"/>
          <w:sz w:val="24"/>
          <w:szCs w:val="24"/>
        </w:rPr>
      </w:pPr>
      <w:r>
        <w:rPr>
          <w:rFonts w:eastAsia="Times New Roman" w:cs="Times New Roman"/>
          <w:sz w:val="24"/>
          <w:szCs w:val="24"/>
        </w:rPr>
        <w:t>Online Appendix C: Selection process and descriptive statistics</w:t>
      </w:r>
    </w:p>
    <w:p w14:paraId="7A612F30" w14:textId="77777777" w:rsidR="000055AD" w:rsidRDefault="000055AD">
      <w:pPr>
        <w:spacing w:line="240" w:lineRule="auto"/>
        <w:rPr>
          <w:rFonts w:eastAsia="Times New Roman" w:cs="Times New Roman"/>
          <w:sz w:val="24"/>
          <w:szCs w:val="24"/>
        </w:rPr>
      </w:pPr>
      <w:bookmarkStart w:id="0" w:name="_Hlk181636084"/>
      <w:bookmarkEnd w:id="0"/>
    </w:p>
    <w:p w14:paraId="7D5C3846" w14:textId="77777777" w:rsidR="000055AD" w:rsidRDefault="000055AD">
      <w:pPr>
        <w:spacing w:line="240" w:lineRule="auto"/>
        <w:rPr>
          <w:rFonts w:eastAsia="Times New Roman" w:cs="Times New Roman"/>
          <w:sz w:val="24"/>
          <w:szCs w:val="24"/>
        </w:rPr>
        <w:sectPr w:rsidR="000055AD">
          <w:headerReference w:type="even" r:id="rId8"/>
          <w:headerReference w:type="default" r:id="rId9"/>
          <w:footerReference w:type="even" r:id="rId10"/>
          <w:footerReference w:type="default" r:id="rId11"/>
          <w:headerReference w:type="first" r:id="rId12"/>
          <w:footerReference w:type="first" r:id="rId13"/>
          <w:pgSz w:w="12240" w:h="15840" w:orient="landscape"/>
          <w:pgMar w:top="1417" w:right="1417" w:bottom="1134" w:left="1417" w:header="708" w:footer="708" w:gutter="0"/>
          <w:cols w:space="708"/>
          <w:titlePg/>
        </w:sectPr>
      </w:pPr>
    </w:p>
    <w:p w14:paraId="55E7CEBD" w14:textId="77777777" w:rsidR="000055AD" w:rsidRDefault="004B772A">
      <w:pPr>
        <w:spacing w:line="240" w:lineRule="auto"/>
        <w:rPr>
          <w:rFonts w:eastAsia="Times New Roman" w:cs="Times New Roman"/>
          <w:b/>
          <w:bCs/>
          <w:sz w:val="24"/>
          <w:szCs w:val="24"/>
        </w:rPr>
      </w:pPr>
      <w:r>
        <w:rPr>
          <w:rFonts w:eastAsia="Times New Roman" w:cs="Times New Roman"/>
          <w:b/>
          <w:bCs/>
          <w:sz w:val="24"/>
          <w:szCs w:val="24"/>
        </w:rPr>
        <w:lastRenderedPageBreak/>
        <w:t>Content List</w:t>
      </w:r>
    </w:p>
    <w:sdt>
      <w:sdtPr>
        <w:rPr>
          <w:rFonts w:ascii="Times New Roman" w:hAnsi="Times New Roman" w:cs="Times New Roman"/>
          <w:sz w:val="20"/>
        </w:rPr>
        <w:id w:val="-1671941937"/>
        <w:docPartObj>
          <w:docPartGallery w:val="Table of Contents"/>
          <w:docPartUnique/>
        </w:docPartObj>
      </w:sdtPr>
      <w:sdtContent>
        <w:p w14:paraId="38F3057F" w14:textId="77777777" w:rsidR="000055AD" w:rsidRDefault="000055AD">
          <w:pPr>
            <w:pStyle w:val="TOCHeading"/>
            <w:rPr>
              <w:rFonts w:ascii="Times New Roman" w:hAnsi="Times New Roman" w:cs="Times New Roman"/>
            </w:rPr>
          </w:pPr>
        </w:p>
        <w:p w14:paraId="5E26B4FF" w14:textId="77777777" w:rsidR="000055AD" w:rsidRDefault="004B772A">
          <w:pPr>
            <w:pStyle w:val="TOC1"/>
            <w:tabs>
              <w:tab w:val="right" w:leader="dot" w:pos="9396"/>
            </w:tabs>
            <w:rPr>
              <w:rFonts w:asciiTheme="minorHAnsi" w:eastAsiaTheme="minorEastAsia" w:hAnsiTheme="minorHAnsi"/>
              <w:sz w:val="22"/>
            </w:rPr>
          </w:pPr>
          <w:r>
            <w:rPr>
              <w:rFonts w:cs="Times New Roman"/>
            </w:rPr>
            <w:fldChar w:fldCharType="begin"/>
          </w:r>
          <w:r>
            <w:rPr>
              <w:rFonts w:cs="Times New Roman"/>
            </w:rPr>
            <w:instrText xml:space="preserve"> TOC \o "1-3" \h \z \u </w:instrText>
          </w:r>
          <w:r>
            <w:rPr>
              <w:rFonts w:cs="Times New Roman"/>
            </w:rPr>
            <w:fldChar w:fldCharType="separate"/>
          </w:r>
          <w:hyperlink w:anchor="_Toc226028139" w:tooltip="#_Toc226028139" w:history="1">
            <w:r>
              <w:rPr>
                <w:rStyle w:val="Hyperlink"/>
                <w:rFonts w:cs="Times New Roman"/>
              </w:rPr>
              <w:t>Online Appendix A: Research identification</w:t>
            </w:r>
            <w:r>
              <w:tab/>
            </w:r>
            <w:r>
              <w:fldChar w:fldCharType="begin"/>
            </w:r>
            <w:r>
              <w:instrText xml:space="preserve"> PAGEREF _Toc226028139 \h </w:instrText>
            </w:r>
            <w:r>
              <w:fldChar w:fldCharType="separate"/>
            </w:r>
            <w:r>
              <w:t>2</w:t>
            </w:r>
            <w:r>
              <w:fldChar w:fldCharType="end"/>
            </w:r>
          </w:hyperlink>
        </w:p>
        <w:p w14:paraId="0DFA8F01" w14:textId="77777777" w:rsidR="000055AD" w:rsidRDefault="00000000">
          <w:pPr>
            <w:pStyle w:val="TOC2"/>
            <w:tabs>
              <w:tab w:val="right" w:leader="dot" w:pos="9396"/>
            </w:tabs>
            <w:rPr>
              <w:rFonts w:asciiTheme="minorHAnsi" w:eastAsiaTheme="minorEastAsia" w:hAnsiTheme="minorHAnsi"/>
              <w:sz w:val="22"/>
            </w:rPr>
          </w:pPr>
          <w:hyperlink w:anchor="_Toc226028140" w:tooltip="#_Toc226028140" w:history="1">
            <w:r w:rsidR="004B772A">
              <w:rPr>
                <w:rStyle w:val="Hyperlink"/>
                <w:rFonts w:cs="Times New Roman"/>
              </w:rPr>
              <w:t>Table OA 1 SPIDER framework</w:t>
            </w:r>
            <w:r w:rsidR="004B772A">
              <w:tab/>
            </w:r>
            <w:r w:rsidR="004B772A">
              <w:fldChar w:fldCharType="begin"/>
            </w:r>
            <w:r w:rsidR="004B772A">
              <w:instrText xml:space="preserve"> PAGEREF _Toc226028140 \h </w:instrText>
            </w:r>
            <w:r w:rsidR="004B772A">
              <w:fldChar w:fldCharType="separate"/>
            </w:r>
            <w:r w:rsidR="004B772A">
              <w:t>2</w:t>
            </w:r>
            <w:r w:rsidR="004B772A">
              <w:fldChar w:fldCharType="end"/>
            </w:r>
          </w:hyperlink>
        </w:p>
        <w:p w14:paraId="604CD036" w14:textId="77777777" w:rsidR="000055AD" w:rsidRDefault="00000000">
          <w:pPr>
            <w:pStyle w:val="TOC2"/>
            <w:tabs>
              <w:tab w:val="right" w:leader="dot" w:pos="9396"/>
            </w:tabs>
            <w:rPr>
              <w:rFonts w:asciiTheme="minorHAnsi" w:eastAsiaTheme="minorEastAsia" w:hAnsiTheme="minorHAnsi"/>
              <w:sz w:val="22"/>
            </w:rPr>
          </w:pPr>
          <w:hyperlink w:anchor="_Toc226028141" w:tooltip="#_Toc226028141" w:history="1">
            <w:r w:rsidR="004B772A">
              <w:rPr>
                <w:rStyle w:val="Hyperlink"/>
                <w:rFonts w:cs="Times New Roman"/>
              </w:rPr>
              <w:t>Table OA 2 Search string</w:t>
            </w:r>
            <w:r w:rsidR="004B772A">
              <w:tab/>
            </w:r>
            <w:r w:rsidR="004B772A">
              <w:fldChar w:fldCharType="begin"/>
            </w:r>
            <w:r w:rsidR="004B772A">
              <w:instrText xml:space="preserve"> PAGEREF _Toc226028141 \h </w:instrText>
            </w:r>
            <w:r w:rsidR="004B772A">
              <w:fldChar w:fldCharType="separate"/>
            </w:r>
            <w:r w:rsidR="004B772A">
              <w:t>3</w:t>
            </w:r>
            <w:r w:rsidR="004B772A">
              <w:fldChar w:fldCharType="end"/>
            </w:r>
          </w:hyperlink>
        </w:p>
        <w:p w14:paraId="7DDC7FF4" w14:textId="77777777" w:rsidR="000055AD" w:rsidRDefault="00000000">
          <w:pPr>
            <w:pStyle w:val="TOC1"/>
            <w:tabs>
              <w:tab w:val="right" w:leader="dot" w:pos="9396"/>
            </w:tabs>
            <w:rPr>
              <w:rFonts w:asciiTheme="minorHAnsi" w:eastAsiaTheme="minorEastAsia" w:hAnsiTheme="minorHAnsi"/>
              <w:sz w:val="22"/>
            </w:rPr>
          </w:pPr>
          <w:hyperlink w:anchor="_Toc226028142" w:tooltip="#_Toc226028142" w:history="1">
            <w:r w:rsidR="004B772A">
              <w:rPr>
                <w:rStyle w:val="Hyperlink"/>
                <w:rFonts w:eastAsia="Times New Roman" w:cs="Times New Roman"/>
              </w:rPr>
              <w:t>Online Appendix B: Article screening</w:t>
            </w:r>
            <w:r w:rsidR="004B772A">
              <w:tab/>
            </w:r>
            <w:r w:rsidR="004B772A">
              <w:fldChar w:fldCharType="begin"/>
            </w:r>
            <w:r w:rsidR="004B772A">
              <w:instrText xml:space="preserve"> PAGEREF _Toc226028142 \h </w:instrText>
            </w:r>
            <w:r w:rsidR="004B772A">
              <w:fldChar w:fldCharType="separate"/>
            </w:r>
            <w:r w:rsidR="004B772A">
              <w:t>5</w:t>
            </w:r>
            <w:r w:rsidR="004B772A">
              <w:fldChar w:fldCharType="end"/>
            </w:r>
          </w:hyperlink>
        </w:p>
        <w:p w14:paraId="0F25B9C4" w14:textId="77777777" w:rsidR="000055AD" w:rsidRDefault="00000000">
          <w:pPr>
            <w:pStyle w:val="TOC2"/>
            <w:tabs>
              <w:tab w:val="right" w:leader="dot" w:pos="9396"/>
            </w:tabs>
            <w:rPr>
              <w:rFonts w:asciiTheme="minorHAnsi" w:eastAsiaTheme="minorEastAsia" w:hAnsiTheme="minorHAnsi"/>
              <w:sz w:val="22"/>
            </w:rPr>
          </w:pPr>
          <w:hyperlink w:anchor="_Toc226028143" w:tooltip="#_Toc226028143" w:history="1">
            <w:r w:rsidR="004B772A">
              <w:rPr>
                <w:rStyle w:val="Hyperlink"/>
                <w:rFonts w:cs="Times New Roman"/>
              </w:rPr>
              <w:t>Figure OB 1 Quasi- sampling</w:t>
            </w:r>
            <w:r w:rsidR="004B772A">
              <w:tab/>
            </w:r>
            <w:r w:rsidR="004B772A">
              <w:fldChar w:fldCharType="begin"/>
            </w:r>
            <w:r w:rsidR="004B772A">
              <w:instrText xml:space="preserve"> PAGEREF _Toc226028143 \h </w:instrText>
            </w:r>
            <w:r w:rsidR="004B772A">
              <w:fldChar w:fldCharType="separate"/>
            </w:r>
            <w:r w:rsidR="004B772A">
              <w:t>5</w:t>
            </w:r>
            <w:r w:rsidR="004B772A">
              <w:fldChar w:fldCharType="end"/>
            </w:r>
          </w:hyperlink>
        </w:p>
        <w:p w14:paraId="35544D13" w14:textId="77777777" w:rsidR="000055AD" w:rsidRDefault="00000000">
          <w:pPr>
            <w:pStyle w:val="TOC2"/>
            <w:tabs>
              <w:tab w:val="right" w:leader="dot" w:pos="9396"/>
            </w:tabs>
            <w:rPr>
              <w:rFonts w:asciiTheme="minorHAnsi" w:eastAsiaTheme="minorEastAsia" w:hAnsiTheme="minorHAnsi"/>
              <w:sz w:val="22"/>
            </w:rPr>
          </w:pPr>
          <w:hyperlink w:anchor="_Toc226028144" w:tooltip="#_Toc226028144" w:history="1">
            <w:r w:rsidR="004B772A">
              <w:rPr>
                <w:rStyle w:val="Hyperlink"/>
                <w:rFonts w:cs="Times New Roman"/>
              </w:rPr>
              <w:t>Table OB 1 Overview of selected articles</w:t>
            </w:r>
            <w:r w:rsidR="004B772A">
              <w:tab/>
            </w:r>
            <w:r w:rsidR="004B772A">
              <w:fldChar w:fldCharType="begin"/>
            </w:r>
            <w:r w:rsidR="004B772A">
              <w:instrText xml:space="preserve"> PAGEREF _Toc226028144 \h </w:instrText>
            </w:r>
            <w:r w:rsidR="004B772A">
              <w:fldChar w:fldCharType="separate"/>
            </w:r>
            <w:r w:rsidR="004B772A">
              <w:t>6</w:t>
            </w:r>
            <w:r w:rsidR="004B772A">
              <w:fldChar w:fldCharType="end"/>
            </w:r>
          </w:hyperlink>
        </w:p>
        <w:p w14:paraId="7E1DA691" w14:textId="77777777" w:rsidR="000055AD" w:rsidRDefault="00000000">
          <w:pPr>
            <w:pStyle w:val="TOC1"/>
            <w:tabs>
              <w:tab w:val="right" w:leader="dot" w:pos="9396"/>
            </w:tabs>
            <w:rPr>
              <w:rFonts w:asciiTheme="minorHAnsi" w:eastAsiaTheme="minorEastAsia" w:hAnsiTheme="minorHAnsi"/>
              <w:sz w:val="22"/>
            </w:rPr>
          </w:pPr>
          <w:hyperlink w:anchor="_Toc226028145" w:tooltip="#_Toc226028145" w:history="1">
            <w:r w:rsidR="004B772A">
              <w:rPr>
                <w:rStyle w:val="Hyperlink"/>
                <w:rFonts w:cs="Times New Roman"/>
              </w:rPr>
              <w:t>Online Appendix C: Selection process and descriptive statistics</w:t>
            </w:r>
            <w:r w:rsidR="004B772A">
              <w:tab/>
            </w:r>
            <w:r w:rsidR="004B772A">
              <w:fldChar w:fldCharType="begin"/>
            </w:r>
            <w:r w:rsidR="004B772A">
              <w:instrText xml:space="preserve"> PAGEREF _Toc226028145 \h </w:instrText>
            </w:r>
            <w:r w:rsidR="004B772A">
              <w:fldChar w:fldCharType="separate"/>
            </w:r>
            <w:r w:rsidR="004B772A">
              <w:t>10</w:t>
            </w:r>
            <w:r w:rsidR="004B772A">
              <w:fldChar w:fldCharType="end"/>
            </w:r>
          </w:hyperlink>
        </w:p>
        <w:p w14:paraId="528C129E" w14:textId="77777777" w:rsidR="000055AD" w:rsidRDefault="00000000">
          <w:pPr>
            <w:pStyle w:val="TOC2"/>
            <w:tabs>
              <w:tab w:val="right" w:leader="dot" w:pos="9396"/>
            </w:tabs>
            <w:rPr>
              <w:rFonts w:asciiTheme="minorHAnsi" w:eastAsiaTheme="minorEastAsia" w:hAnsiTheme="minorHAnsi"/>
              <w:sz w:val="22"/>
            </w:rPr>
          </w:pPr>
          <w:hyperlink w:anchor="_Toc226028146" w:tooltip="#_Toc226028146" w:history="1">
            <w:r w:rsidR="004B772A">
              <w:rPr>
                <w:rStyle w:val="Hyperlink"/>
                <w:rFonts w:cs="Times New Roman"/>
              </w:rPr>
              <w:t>Figure OC 1 Sample selection process</w:t>
            </w:r>
            <w:r w:rsidR="004B772A">
              <w:tab/>
            </w:r>
            <w:r w:rsidR="004B772A">
              <w:fldChar w:fldCharType="begin"/>
            </w:r>
            <w:r w:rsidR="004B772A">
              <w:instrText xml:space="preserve"> PAGEREF _Toc226028146 \h </w:instrText>
            </w:r>
            <w:r w:rsidR="004B772A">
              <w:fldChar w:fldCharType="separate"/>
            </w:r>
            <w:r w:rsidR="004B772A">
              <w:t>10</w:t>
            </w:r>
            <w:r w:rsidR="004B772A">
              <w:fldChar w:fldCharType="end"/>
            </w:r>
          </w:hyperlink>
        </w:p>
        <w:p w14:paraId="62B320AC" w14:textId="77777777" w:rsidR="000055AD" w:rsidRDefault="00000000">
          <w:pPr>
            <w:pStyle w:val="TOC1"/>
            <w:tabs>
              <w:tab w:val="right" w:leader="dot" w:pos="9396"/>
            </w:tabs>
            <w:rPr>
              <w:rFonts w:asciiTheme="minorHAnsi" w:eastAsiaTheme="minorEastAsia" w:hAnsiTheme="minorHAnsi"/>
              <w:sz w:val="22"/>
            </w:rPr>
          </w:pPr>
          <w:hyperlink w:anchor="_Toc226028147" w:tooltip="#_Toc226028147" w:history="1">
            <w:r w:rsidR="004B772A">
              <w:rPr>
                <w:rStyle w:val="Hyperlink"/>
                <w:rFonts w:cs="Times New Roman"/>
              </w:rPr>
              <w:t>Reference</w:t>
            </w:r>
            <w:r w:rsidR="004B772A">
              <w:tab/>
            </w:r>
            <w:r w:rsidR="004B772A">
              <w:fldChar w:fldCharType="begin"/>
            </w:r>
            <w:r w:rsidR="004B772A">
              <w:instrText xml:space="preserve"> PAGEREF _Toc226028147 \h </w:instrText>
            </w:r>
            <w:r w:rsidR="004B772A">
              <w:fldChar w:fldCharType="separate"/>
            </w:r>
            <w:r w:rsidR="004B772A">
              <w:t>11</w:t>
            </w:r>
            <w:r w:rsidR="004B772A">
              <w:fldChar w:fldCharType="end"/>
            </w:r>
          </w:hyperlink>
        </w:p>
        <w:p w14:paraId="0CF94832" w14:textId="77777777" w:rsidR="000055AD" w:rsidRDefault="004B772A">
          <w:pPr>
            <w:rPr>
              <w:rFonts w:cs="Times New Roman"/>
            </w:rPr>
          </w:pPr>
          <w:r>
            <w:rPr>
              <w:rFonts w:cs="Times New Roman"/>
              <w:b/>
              <w:bCs/>
            </w:rPr>
            <w:fldChar w:fldCharType="end"/>
          </w:r>
        </w:p>
      </w:sdtContent>
    </w:sdt>
    <w:p w14:paraId="5253543F" w14:textId="77777777" w:rsidR="000055AD" w:rsidRDefault="000055AD">
      <w:pPr>
        <w:spacing w:line="240" w:lineRule="auto"/>
        <w:rPr>
          <w:rFonts w:eastAsia="Times New Roman" w:cs="Times New Roman"/>
          <w:sz w:val="24"/>
          <w:szCs w:val="24"/>
        </w:rPr>
      </w:pPr>
    </w:p>
    <w:p w14:paraId="61D3C38F" w14:textId="77777777" w:rsidR="000055AD" w:rsidRDefault="000055AD">
      <w:pPr>
        <w:spacing w:line="240" w:lineRule="auto"/>
        <w:rPr>
          <w:rFonts w:eastAsia="Times New Roman" w:cs="Times New Roman"/>
          <w:sz w:val="24"/>
          <w:szCs w:val="24"/>
        </w:rPr>
      </w:pPr>
    </w:p>
    <w:p w14:paraId="14023A84" w14:textId="77777777" w:rsidR="000055AD" w:rsidRDefault="004B772A">
      <w:pPr>
        <w:spacing w:after="160" w:line="259" w:lineRule="auto"/>
        <w:jc w:val="left"/>
        <w:rPr>
          <w:rFonts w:cs="Times New Roman"/>
        </w:rPr>
      </w:pPr>
      <w:r>
        <w:rPr>
          <w:rFonts w:cs="Times New Roman"/>
        </w:rPr>
        <w:br w:type="page" w:clear="all"/>
      </w:r>
    </w:p>
    <w:p w14:paraId="348B8D35" w14:textId="77777777" w:rsidR="000055AD" w:rsidRDefault="004B772A">
      <w:pPr>
        <w:pStyle w:val="Heading1"/>
        <w:rPr>
          <w:rFonts w:ascii="Times New Roman" w:hAnsi="Times New Roman" w:cs="Times New Roman"/>
          <w:sz w:val="18"/>
          <w:szCs w:val="18"/>
        </w:rPr>
      </w:pPr>
      <w:bookmarkStart w:id="1" w:name="_Toc226028139"/>
      <w:r>
        <w:rPr>
          <w:rFonts w:ascii="Times New Roman" w:hAnsi="Times New Roman" w:cs="Times New Roman"/>
        </w:rPr>
        <w:lastRenderedPageBreak/>
        <w:t>Online Appendix A: Research identification</w:t>
      </w:r>
      <w:bookmarkEnd w:id="1"/>
    </w:p>
    <w:p w14:paraId="68B4E705" w14:textId="77777777" w:rsidR="000055AD" w:rsidRDefault="004B772A">
      <w:pPr>
        <w:spacing w:line="240" w:lineRule="auto"/>
        <w:rPr>
          <w:rFonts w:eastAsia="Times New Roman" w:cs="Times New Roman"/>
          <w:b/>
          <w:bCs/>
          <w:sz w:val="18"/>
          <w:szCs w:val="18"/>
        </w:rPr>
      </w:pPr>
      <w:r>
        <w:rPr>
          <w:rFonts w:eastAsia="Times New Roman" w:cs="Times New Roman"/>
          <w:b/>
          <w:bCs/>
          <w:sz w:val="24"/>
          <w:szCs w:val="24"/>
        </w:rPr>
        <w:t> </w:t>
      </w:r>
    </w:p>
    <w:p w14:paraId="7F0F9091" w14:textId="77777777" w:rsidR="000055AD" w:rsidRDefault="004B772A">
      <w:pPr>
        <w:pStyle w:val="Heading2"/>
        <w:rPr>
          <w:rFonts w:ascii="Times New Roman" w:hAnsi="Times New Roman" w:cs="Times New Roman"/>
        </w:rPr>
      </w:pPr>
      <w:bookmarkStart w:id="2" w:name="_Toc226028140"/>
      <w:r>
        <w:rPr>
          <w:rFonts w:ascii="Times New Roman" w:hAnsi="Times New Roman" w:cs="Times New Roman"/>
        </w:rPr>
        <w:t xml:space="preserve">Table OA </w:t>
      </w:r>
      <w:r>
        <w:rPr>
          <w:rFonts w:ascii="Times New Roman" w:hAnsi="Times New Roman" w:cs="Times New Roman"/>
        </w:rPr>
        <w:fldChar w:fldCharType="begin"/>
      </w:r>
      <w:r>
        <w:rPr>
          <w:rFonts w:ascii="Times New Roman" w:hAnsi="Times New Roman" w:cs="Times New Roman"/>
        </w:rPr>
        <w:instrText xml:space="preserve"> SEQ Table_OA \* ARABIC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r>
        <w:rPr>
          <w:rFonts w:ascii="Times New Roman" w:hAnsi="Times New Roman" w:cs="Times New Roman"/>
        </w:rPr>
        <w:t xml:space="preserve"> SPIDER framework</w:t>
      </w:r>
      <w:bookmarkEnd w:id="2"/>
    </w:p>
    <w:p w14:paraId="1329FE25" w14:textId="77777777" w:rsidR="000055AD" w:rsidRDefault="004B772A">
      <w:pPr>
        <w:spacing w:line="240" w:lineRule="auto"/>
        <w:rPr>
          <w:rFonts w:eastAsia="Times New Roman" w:cs="Times New Roman"/>
          <w:szCs w:val="20"/>
        </w:rPr>
      </w:pPr>
      <w:r>
        <w:rPr>
          <w:rFonts w:eastAsia="Times New Roman" w:cs="Times New Roman"/>
          <w:szCs w:val="20"/>
        </w:rPr>
        <w:t xml:space="preserve">Note. </w:t>
      </w:r>
      <w:r>
        <w:rPr>
          <w:rFonts w:cs="Times New Roman"/>
          <w:szCs w:val="20"/>
        </w:rPr>
        <w:t>Table OA. 1</w:t>
      </w:r>
      <w:r>
        <w:rPr>
          <w:rFonts w:eastAsia="Times New Roman" w:cs="Times New Roman"/>
          <w:szCs w:val="20"/>
        </w:rPr>
        <w:t xml:space="preserve"> reports the structuring of selected research using the SPIDER framework following Cook et al., </w:t>
      </w:r>
      <w:r>
        <w:rPr>
          <w:rFonts w:eastAsia="Times New Roman" w:cs="Times New Roman"/>
          <w:szCs w:val="20"/>
        </w:rPr>
        <w:fldChar w:fldCharType="begin"/>
      </w:r>
      <w:r>
        <w:rPr>
          <w:rFonts w:eastAsia="Times New Roman" w:cs="Times New Roman"/>
          <w:szCs w:val="20"/>
        </w:rPr>
        <w:instrText xml:space="preserve"> ADDIN ZOTERO_ITEM CSL_CITATION {"citationID":"gatP3YU1","properties":{"formattedCitation":"(2012)","plainCitation":"(2012)","noteIndex":0},"citationItems":[{"id":63699,"uris":["http://zotero.org/groups/52011/items/3FPNRYMM"],"itemData":{"id":63699,"type":"article-journal","abstract":"Standardized systematic search strategies facilitate rigor in research. Current search tools focus on retrieval of quantitative research. In this article we address issues relating to using existing search strategy tools, most typically the PICO (Population, Intervention, Comparison, Outcome) formulation for defining key elements of a review question, when searching for qualitative and mixed methods research studies. An alternative search strategy tool for qualitative/mixed methods research is outlined: SPIDER (Sample, Phenomenon of Interest, Design, Evaluation, Research type). We used both the SPIDER and PICO search strategy tools with a qualitative research question. We have used the SPIDER tool to advance thinking beyond PICO in its suitable application to qualitative and mixed methods research. However, we have highlighted once more the need for improved indexing of qualitative articles in databases. To constitute a viable alternative to PICO, SPIDER needs to be refined and tested on a wider range of topics.","container-title":"Qualitative Health Research","DOI":"10.1177/1049732312452938","ISSN":"1049-7323, 1552-7557","issue":"10","journalAbbreviation":"Qual Health Res","language":"en","page":"1435-1443","source":"DOI.org (Crossref)","title":"Beyond PICO: The SPIDER Tool for Qualitative Evidence Synthesis","title-short":"Beyond PICO","volume":"22","author":[{"family":"Cooke","given":"Alison"},{"family":"Smith","given":"Debbie"},{"family":"Booth","given":"Andrew"}],"issued":{"date-parts":[["2012",10]]}},"suppress-author":true}],"schema":"https://github.com/citation-style-language/schema/raw/master/csl-citation.json"} </w:instrText>
      </w:r>
      <w:r>
        <w:rPr>
          <w:rFonts w:eastAsia="Times New Roman" w:cs="Times New Roman"/>
          <w:szCs w:val="20"/>
        </w:rPr>
        <w:fldChar w:fldCharType="separate"/>
      </w:r>
      <w:r>
        <w:rPr>
          <w:rFonts w:cs="Times New Roman"/>
        </w:rPr>
        <w:t>(2012)</w:t>
      </w:r>
      <w:r>
        <w:rPr>
          <w:rFonts w:eastAsia="Times New Roman" w:cs="Times New Roman"/>
          <w:szCs w:val="20"/>
        </w:rPr>
        <w:fldChar w:fldCharType="end"/>
      </w:r>
      <w:r>
        <w:rPr>
          <w:rFonts w:eastAsia="Times New Roman" w:cs="Times New Roman"/>
          <w:szCs w:val="20"/>
        </w:rPr>
        <w:t xml:space="preserve">. This framework ensures a theoretically grounded derivation of central search terms as well as in- and exclusion criteria. </w:t>
      </w:r>
    </w:p>
    <w:tbl>
      <w:tblPr>
        <w:tblW w:w="5000" w:type="pct"/>
        <w:tblLayout w:type="fixed"/>
        <w:tblCellMar>
          <w:left w:w="0" w:type="dxa"/>
          <w:right w:w="0" w:type="dxa"/>
        </w:tblCellMar>
        <w:tblLook w:val="04A0" w:firstRow="1" w:lastRow="0" w:firstColumn="1" w:lastColumn="0" w:noHBand="0" w:noVBand="1"/>
      </w:tblPr>
      <w:tblGrid>
        <w:gridCol w:w="3237"/>
        <w:gridCol w:w="90"/>
        <w:gridCol w:w="1712"/>
        <w:gridCol w:w="1620"/>
        <w:gridCol w:w="1351"/>
        <w:gridCol w:w="1396"/>
      </w:tblGrid>
      <w:tr w:rsidR="000055AD" w14:paraId="01EA6C18" w14:textId="77777777">
        <w:trPr>
          <w:trHeight w:val="804"/>
        </w:trPr>
        <w:tc>
          <w:tcPr>
            <w:tcW w:w="1721" w:type="pct"/>
            <w:tcBorders>
              <w:top w:val="single" w:sz="12" w:space="0" w:color="auto"/>
              <w:bottom w:val="single" w:sz="12" w:space="0" w:color="auto"/>
            </w:tcBorders>
            <w:shd w:val="clear" w:color="auto" w:fill="auto"/>
            <w:tcMar>
              <w:top w:w="15" w:type="dxa"/>
              <w:left w:w="108" w:type="dxa"/>
              <w:bottom w:w="0" w:type="dxa"/>
              <w:right w:w="108" w:type="dxa"/>
            </w:tcMar>
          </w:tcPr>
          <w:p w14:paraId="4D078178" w14:textId="77777777" w:rsidR="000055AD" w:rsidRDefault="004B772A">
            <w:pPr>
              <w:spacing w:line="240" w:lineRule="auto"/>
              <w:rPr>
                <w:rFonts w:cs="Times New Roman"/>
              </w:rPr>
            </w:pPr>
            <w:r>
              <w:rPr>
                <w:rFonts w:cs="Times New Roman"/>
                <w:b/>
                <w:bCs/>
              </w:rPr>
              <w:t>S</w:t>
            </w:r>
            <w:r>
              <w:rPr>
                <w:rFonts w:cs="Times New Roman"/>
              </w:rPr>
              <w:t>ample</w:t>
            </w:r>
          </w:p>
        </w:tc>
        <w:tc>
          <w:tcPr>
            <w:tcW w:w="958" w:type="pct"/>
            <w:gridSpan w:val="2"/>
            <w:tcBorders>
              <w:top w:val="single" w:sz="12" w:space="0" w:color="auto"/>
              <w:bottom w:val="single" w:sz="12" w:space="0" w:color="auto"/>
            </w:tcBorders>
            <w:shd w:val="clear" w:color="auto" w:fill="auto"/>
            <w:tcMar>
              <w:top w:w="15" w:type="dxa"/>
              <w:left w:w="108" w:type="dxa"/>
              <w:bottom w:w="0" w:type="dxa"/>
              <w:right w:w="108" w:type="dxa"/>
            </w:tcMar>
          </w:tcPr>
          <w:p w14:paraId="33FEC2FE" w14:textId="77777777" w:rsidR="000055AD" w:rsidRDefault="004B772A">
            <w:pPr>
              <w:spacing w:line="240" w:lineRule="auto"/>
              <w:rPr>
                <w:rFonts w:cs="Times New Roman"/>
              </w:rPr>
            </w:pPr>
            <w:r>
              <w:rPr>
                <w:rFonts w:cs="Times New Roman"/>
                <w:b/>
                <w:bCs/>
              </w:rPr>
              <w:t>P</w:t>
            </w:r>
            <w:r>
              <w:rPr>
                <w:rFonts w:cs="Times New Roman"/>
              </w:rPr>
              <w:t>henomenon</w:t>
            </w:r>
            <w:r>
              <w:rPr>
                <w:rFonts w:cs="Times New Roman"/>
                <w:b/>
                <w:bCs/>
              </w:rPr>
              <w:t xml:space="preserve"> </w:t>
            </w:r>
            <w:r>
              <w:rPr>
                <w:rFonts w:cs="Times New Roman"/>
              </w:rPr>
              <w:t xml:space="preserve">of </w:t>
            </w:r>
            <w:r>
              <w:rPr>
                <w:rFonts w:cs="Times New Roman"/>
                <w:b/>
                <w:bCs/>
              </w:rPr>
              <w:t>I</w:t>
            </w:r>
            <w:r>
              <w:rPr>
                <w:rFonts w:cs="Times New Roman"/>
              </w:rPr>
              <w:t>nterest</w:t>
            </w:r>
          </w:p>
          <w:p w14:paraId="4F8B616A" w14:textId="77777777" w:rsidR="000055AD" w:rsidRDefault="004B772A">
            <w:pPr>
              <w:spacing w:line="240" w:lineRule="auto"/>
              <w:rPr>
                <w:rFonts w:cs="Times New Roman"/>
              </w:rPr>
            </w:pPr>
            <w:r>
              <w:rPr>
                <w:rFonts w:cs="Times New Roman"/>
              </w:rPr>
              <w:t>(Entry point)</w:t>
            </w:r>
          </w:p>
        </w:tc>
        <w:tc>
          <w:tcPr>
            <w:tcW w:w="861" w:type="pct"/>
            <w:tcBorders>
              <w:top w:val="single" w:sz="12" w:space="0" w:color="auto"/>
              <w:bottom w:val="single" w:sz="12" w:space="0" w:color="auto"/>
            </w:tcBorders>
            <w:shd w:val="clear" w:color="auto" w:fill="auto"/>
            <w:tcMar>
              <w:top w:w="15" w:type="dxa"/>
              <w:left w:w="108" w:type="dxa"/>
              <w:bottom w:w="0" w:type="dxa"/>
              <w:right w:w="108" w:type="dxa"/>
            </w:tcMar>
          </w:tcPr>
          <w:p w14:paraId="312502DD" w14:textId="77777777" w:rsidR="000055AD" w:rsidRDefault="004B772A">
            <w:pPr>
              <w:spacing w:line="240" w:lineRule="auto"/>
              <w:rPr>
                <w:rFonts w:cs="Times New Roman"/>
              </w:rPr>
            </w:pPr>
            <w:r>
              <w:rPr>
                <w:rFonts w:cs="Times New Roman"/>
                <w:b/>
                <w:bCs/>
              </w:rPr>
              <w:t>D</w:t>
            </w:r>
            <w:r>
              <w:rPr>
                <w:rFonts w:cs="Times New Roman"/>
              </w:rPr>
              <w:t>esign</w:t>
            </w:r>
          </w:p>
        </w:tc>
        <w:tc>
          <w:tcPr>
            <w:tcW w:w="718" w:type="pct"/>
            <w:tcBorders>
              <w:top w:val="single" w:sz="12" w:space="0" w:color="auto"/>
              <w:bottom w:val="single" w:sz="12" w:space="0" w:color="auto"/>
            </w:tcBorders>
            <w:shd w:val="clear" w:color="auto" w:fill="auto"/>
            <w:tcMar>
              <w:top w:w="15" w:type="dxa"/>
              <w:left w:w="108" w:type="dxa"/>
              <w:bottom w:w="0" w:type="dxa"/>
              <w:right w:w="108" w:type="dxa"/>
            </w:tcMar>
          </w:tcPr>
          <w:p w14:paraId="73EBAC94" w14:textId="77777777" w:rsidR="000055AD" w:rsidRDefault="004B772A">
            <w:pPr>
              <w:spacing w:line="240" w:lineRule="auto"/>
              <w:rPr>
                <w:rFonts w:cs="Times New Roman"/>
              </w:rPr>
            </w:pPr>
            <w:r>
              <w:rPr>
                <w:rFonts w:cs="Times New Roman"/>
                <w:b/>
                <w:bCs/>
              </w:rPr>
              <w:t>E</w:t>
            </w:r>
            <w:r>
              <w:rPr>
                <w:rFonts w:cs="Times New Roman"/>
              </w:rPr>
              <w:t>valuation</w:t>
            </w:r>
          </w:p>
        </w:tc>
        <w:tc>
          <w:tcPr>
            <w:tcW w:w="742" w:type="pct"/>
            <w:tcBorders>
              <w:top w:val="single" w:sz="12" w:space="0" w:color="auto"/>
              <w:bottom w:val="single" w:sz="12" w:space="0" w:color="auto"/>
            </w:tcBorders>
            <w:shd w:val="clear" w:color="auto" w:fill="auto"/>
            <w:tcMar>
              <w:top w:w="15" w:type="dxa"/>
              <w:left w:w="108" w:type="dxa"/>
              <w:bottom w:w="0" w:type="dxa"/>
              <w:right w:w="108" w:type="dxa"/>
            </w:tcMar>
          </w:tcPr>
          <w:p w14:paraId="334890DE" w14:textId="77777777" w:rsidR="000055AD" w:rsidRDefault="004B772A">
            <w:pPr>
              <w:spacing w:line="240" w:lineRule="auto"/>
              <w:rPr>
                <w:rFonts w:cs="Times New Roman"/>
              </w:rPr>
            </w:pPr>
            <w:r>
              <w:rPr>
                <w:rFonts w:cs="Times New Roman"/>
                <w:b/>
                <w:bCs/>
              </w:rPr>
              <w:t>R</w:t>
            </w:r>
            <w:r>
              <w:rPr>
                <w:rFonts w:cs="Times New Roman"/>
              </w:rPr>
              <w:t>esearch type</w:t>
            </w:r>
          </w:p>
        </w:tc>
      </w:tr>
      <w:tr w:rsidR="000055AD" w14:paraId="6DCCA831" w14:textId="77777777">
        <w:trPr>
          <w:trHeight w:val="1069"/>
        </w:trPr>
        <w:tc>
          <w:tcPr>
            <w:tcW w:w="1769" w:type="pct"/>
            <w:gridSpan w:val="2"/>
            <w:tcBorders>
              <w:top w:val="single" w:sz="12" w:space="0" w:color="auto"/>
              <w:bottom w:val="single" w:sz="2" w:space="0" w:color="auto"/>
            </w:tcBorders>
            <w:shd w:val="clear" w:color="auto" w:fill="auto"/>
            <w:tcMar>
              <w:top w:w="15" w:type="dxa"/>
              <w:left w:w="108" w:type="dxa"/>
              <w:bottom w:w="0" w:type="dxa"/>
              <w:right w:w="108" w:type="dxa"/>
            </w:tcMar>
          </w:tcPr>
          <w:p w14:paraId="19418739" w14:textId="77777777" w:rsidR="000055AD" w:rsidRDefault="004B772A">
            <w:pPr>
              <w:spacing w:line="240" w:lineRule="auto"/>
              <w:jc w:val="left"/>
              <w:rPr>
                <w:rFonts w:cs="Times New Roman"/>
                <w:i/>
              </w:rPr>
            </w:pPr>
            <w:r>
              <w:rPr>
                <w:rFonts w:cs="Times New Roman"/>
                <w:i/>
              </w:rPr>
              <w:t xml:space="preserve">The sample covers research on sectoral climate change mitigation policies. Therefore, it should include terms for policy and relevant sectors or specific technologies within the selected sectors. </w:t>
            </w:r>
          </w:p>
        </w:tc>
        <w:tc>
          <w:tcPr>
            <w:tcW w:w="910" w:type="pct"/>
            <w:tcBorders>
              <w:top w:val="single" w:sz="12" w:space="0" w:color="auto"/>
              <w:bottom w:val="single" w:sz="2" w:space="0" w:color="auto"/>
            </w:tcBorders>
            <w:shd w:val="clear" w:color="auto" w:fill="auto"/>
            <w:tcMar>
              <w:top w:w="15" w:type="dxa"/>
              <w:left w:w="108" w:type="dxa"/>
              <w:bottom w:w="0" w:type="dxa"/>
              <w:right w:w="108" w:type="dxa"/>
            </w:tcMar>
          </w:tcPr>
          <w:p w14:paraId="01ED5986" w14:textId="77777777" w:rsidR="000055AD" w:rsidRDefault="004B772A">
            <w:pPr>
              <w:spacing w:line="240" w:lineRule="auto"/>
              <w:jc w:val="left"/>
              <w:rPr>
                <w:rFonts w:cs="Times New Roman"/>
                <w:i/>
              </w:rPr>
            </w:pPr>
            <w:r>
              <w:rPr>
                <w:rFonts w:cs="Times New Roman"/>
                <w:i/>
              </w:rPr>
              <w:t>To explore the how and why of sectoral climate change mitigation policies, the selected research is required to provide contextual assessments.</w:t>
            </w:r>
          </w:p>
        </w:tc>
        <w:tc>
          <w:tcPr>
            <w:tcW w:w="861" w:type="pct"/>
            <w:tcBorders>
              <w:top w:val="single" w:sz="12" w:space="0" w:color="auto"/>
              <w:bottom w:val="single" w:sz="2" w:space="0" w:color="auto"/>
            </w:tcBorders>
            <w:shd w:val="clear" w:color="auto" w:fill="auto"/>
            <w:tcMar>
              <w:top w:w="15" w:type="dxa"/>
              <w:left w:w="108" w:type="dxa"/>
              <w:bottom w:w="0" w:type="dxa"/>
              <w:right w:w="108" w:type="dxa"/>
            </w:tcMar>
          </w:tcPr>
          <w:p w14:paraId="09901C8F" w14:textId="77777777" w:rsidR="000055AD" w:rsidRDefault="004B772A">
            <w:pPr>
              <w:spacing w:line="240" w:lineRule="auto"/>
              <w:jc w:val="left"/>
              <w:rPr>
                <w:rFonts w:cs="Times New Roman"/>
                <w:i/>
              </w:rPr>
            </w:pPr>
            <w:r>
              <w:rPr>
                <w:rFonts w:cs="Times New Roman"/>
                <w:i/>
              </w:rPr>
              <w:t>Selected research should provide an assessment of conducted policy cases and therefore rely on an observational design.</w:t>
            </w:r>
          </w:p>
        </w:tc>
        <w:tc>
          <w:tcPr>
            <w:tcW w:w="718" w:type="pct"/>
            <w:tcBorders>
              <w:top w:val="single" w:sz="12" w:space="0" w:color="auto"/>
              <w:bottom w:val="single" w:sz="2" w:space="0" w:color="auto"/>
            </w:tcBorders>
            <w:shd w:val="clear" w:color="auto" w:fill="auto"/>
            <w:tcMar>
              <w:top w:w="15" w:type="dxa"/>
              <w:left w:w="108" w:type="dxa"/>
              <w:bottom w:w="0" w:type="dxa"/>
              <w:right w:w="108" w:type="dxa"/>
            </w:tcMar>
          </w:tcPr>
          <w:p w14:paraId="78A45A3D" w14:textId="77777777" w:rsidR="000055AD" w:rsidRDefault="004B772A">
            <w:pPr>
              <w:spacing w:line="240" w:lineRule="auto"/>
              <w:jc w:val="left"/>
              <w:rPr>
                <w:rFonts w:cs="Times New Roman"/>
                <w:i/>
              </w:rPr>
            </w:pPr>
            <w:r>
              <w:rPr>
                <w:rFonts w:cs="Times New Roman"/>
                <w:i/>
              </w:rPr>
              <w:t xml:space="preserve">The outcome measure should be positive for mitigation technologies and negative for fossil fuels. </w:t>
            </w:r>
          </w:p>
        </w:tc>
        <w:tc>
          <w:tcPr>
            <w:tcW w:w="742" w:type="pct"/>
            <w:tcBorders>
              <w:top w:val="single" w:sz="12" w:space="0" w:color="auto"/>
              <w:bottom w:val="single" w:sz="2" w:space="0" w:color="auto"/>
            </w:tcBorders>
            <w:shd w:val="clear" w:color="auto" w:fill="auto"/>
            <w:tcMar>
              <w:top w:w="15" w:type="dxa"/>
              <w:left w:w="108" w:type="dxa"/>
              <w:bottom w:w="0" w:type="dxa"/>
              <w:right w:w="108" w:type="dxa"/>
            </w:tcMar>
          </w:tcPr>
          <w:p w14:paraId="5426C126" w14:textId="77777777" w:rsidR="000055AD" w:rsidRDefault="004B772A">
            <w:pPr>
              <w:spacing w:line="240" w:lineRule="auto"/>
              <w:jc w:val="left"/>
              <w:rPr>
                <w:rFonts w:cs="Times New Roman"/>
                <w:i/>
              </w:rPr>
            </w:pPr>
            <w:r>
              <w:rPr>
                <w:rFonts w:cs="Times New Roman"/>
                <w:i/>
              </w:rPr>
              <w:t xml:space="preserve">In order to conduct a </w:t>
            </w:r>
            <w:proofErr w:type="spellStart"/>
            <w:r>
              <w:rPr>
                <w:rFonts w:cs="Times New Roman"/>
                <w:i/>
              </w:rPr>
              <w:t>compre-hensive</w:t>
            </w:r>
            <w:proofErr w:type="spellEnd"/>
            <w:r>
              <w:rPr>
                <w:rFonts w:cs="Times New Roman"/>
                <w:i/>
              </w:rPr>
              <w:t xml:space="preserve"> overview, we allow multiple methods. </w:t>
            </w:r>
          </w:p>
        </w:tc>
      </w:tr>
      <w:tr w:rsidR="000055AD" w14:paraId="00E6E068" w14:textId="77777777">
        <w:trPr>
          <w:trHeight w:val="1894"/>
        </w:trPr>
        <w:tc>
          <w:tcPr>
            <w:tcW w:w="1721" w:type="pct"/>
            <w:tcBorders>
              <w:top w:val="single" w:sz="2" w:space="0" w:color="auto"/>
              <w:bottom w:val="single" w:sz="2" w:space="0" w:color="auto"/>
            </w:tcBorders>
            <w:shd w:val="clear" w:color="auto" w:fill="auto"/>
            <w:tcMar>
              <w:top w:w="15" w:type="dxa"/>
              <w:left w:w="108" w:type="dxa"/>
              <w:bottom w:w="0" w:type="dxa"/>
              <w:right w:w="108" w:type="dxa"/>
            </w:tcMar>
          </w:tcPr>
          <w:p w14:paraId="5F5D5463" w14:textId="77777777" w:rsidR="000055AD" w:rsidRDefault="004B772A">
            <w:pPr>
              <w:spacing w:line="240" w:lineRule="auto"/>
              <w:jc w:val="left"/>
              <w:rPr>
                <w:rFonts w:cs="Times New Roman"/>
              </w:rPr>
            </w:pPr>
            <w:r>
              <w:rPr>
                <w:rFonts w:cs="Times New Roman"/>
                <w:b/>
              </w:rPr>
              <w:t>Policies:</w:t>
            </w:r>
            <w:r>
              <w:rPr>
                <w:rFonts w:cs="Times New Roman"/>
              </w:rPr>
              <w:br/>
            </w:r>
            <w:r>
              <w:rPr>
                <w:rFonts w:cs="Times New Roman"/>
                <w:i/>
              </w:rPr>
              <w:t>General</w:t>
            </w:r>
            <w:r>
              <w:rPr>
                <w:rFonts w:cs="Times New Roman"/>
              </w:rPr>
              <w:t>: policy</w:t>
            </w:r>
          </w:p>
          <w:p w14:paraId="1A7B4C15" w14:textId="77777777" w:rsidR="000055AD" w:rsidRDefault="004B772A">
            <w:pPr>
              <w:spacing w:line="240" w:lineRule="auto"/>
              <w:jc w:val="left"/>
              <w:rPr>
                <w:rFonts w:cs="Times New Roman"/>
              </w:rPr>
            </w:pPr>
            <w:r>
              <w:rPr>
                <w:rFonts w:cs="Times New Roman"/>
                <w:i/>
              </w:rPr>
              <w:t>Specific:</w:t>
            </w:r>
            <w:r>
              <w:rPr>
                <w:rFonts w:cs="Times New Roman"/>
              </w:rPr>
              <w:t xml:space="preserve"> Just Energy Transition Partnership, Climate Clubs, Carbon Clubs, International Transfers, International Cooperation, International Treaty, Climate Treaty, Climate Agreements</w:t>
            </w:r>
            <w:r>
              <w:rPr>
                <w:rFonts w:cs="Times New Roman"/>
              </w:rPr>
              <w:br/>
            </w:r>
            <w:r>
              <w:rPr>
                <w:rFonts w:cs="Times New Roman"/>
                <w:b/>
              </w:rPr>
              <w:t>Sectors:</w:t>
            </w:r>
            <w:r>
              <w:rPr>
                <w:rFonts w:cs="Times New Roman"/>
              </w:rPr>
              <w:t xml:space="preserve"> energy, transport, buildings, industry, carbon management</w:t>
            </w:r>
            <w:r>
              <w:rPr>
                <w:rFonts w:cs="Times New Roman"/>
              </w:rPr>
              <w:br/>
            </w:r>
            <w:r>
              <w:rPr>
                <w:rFonts w:cs="Times New Roman"/>
                <w:b/>
              </w:rPr>
              <w:t>Technologies</w:t>
            </w:r>
            <w:r>
              <w:rPr>
                <w:rFonts w:cs="Times New Roman"/>
              </w:rPr>
              <w:br/>
            </w:r>
            <w:r>
              <w:rPr>
                <w:rFonts w:cs="Times New Roman"/>
                <w:i/>
              </w:rPr>
              <w:t>Mitigation technologies</w:t>
            </w:r>
            <w:r>
              <w:rPr>
                <w:rFonts w:cs="Times New Roman"/>
              </w:rPr>
              <w:t>: renewables, solar, wind, hydro, biomass, nuclear, geothermal, battery storage, hydrogen, methanol, ammonia, biochar, electro fuel, biofuel, bioenergy, biodiesel, ethanol, biomethane, synthetic fuel, electric arc furnace, heat pump, electrode boiler, electric vehicle, fuel cell, energetic refurbishment, energetic rehabilitation, energy renovation</w:t>
            </w:r>
            <w:r>
              <w:rPr>
                <w:rFonts w:cs="Times New Roman"/>
              </w:rPr>
              <w:br/>
            </w:r>
            <w:r>
              <w:rPr>
                <w:rFonts w:cs="Times New Roman"/>
                <w:i/>
              </w:rPr>
              <w:t>Fossil fuel technologies</w:t>
            </w:r>
            <w:r>
              <w:rPr>
                <w:rFonts w:cs="Times New Roman"/>
              </w:rPr>
              <w:t>: coal, oil, gas</w:t>
            </w:r>
            <w:r>
              <w:rPr>
                <w:rFonts w:cs="Times New Roman"/>
              </w:rPr>
              <w:br/>
            </w:r>
            <w:r>
              <w:rPr>
                <w:rFonts w:cs="Times New Roman"/>
                <w:b/>
              </w:rPr>
              <w:t>In- and exclusion criteria</w:t>
            </w:r>
            <w:r>
              <w:rPr>
                <w:rFonts w:cs="Times New Roman"/>
                <w:b/>
              </w:rPr>
              <w:br/>
            </w:r>
            <w:r>
              <w:rPr>
                <w:rFonts w:cs="Times New Roman"/>
              </w:rPr>
              <w:t>Study analyses technologies in one or more of the following focus sectors of this review: energy, transport, industry, buildings or carbon management.</w:t>
            </w:r>
          </w:p>
        </w:tc>
        <w:tc>
          <w:tcPr>
            <w:tcW w:w="958" w:type="pct"/>
            <w:gridSpan w:val="2"/>
            <w:tcBorders>
              <w:top w:val="single" w:sz="2" w:space="0" w:color="auto"/>
              <w:bottom w:val="single" w:sz="2" w:space="0" w:color="auto"/>
            </w:tcBorders>
            <w:shd w:val="clear" w:color="auto" w:fill="auto"/>
            <w:tcMar>
              <w:top w:w="15" w:type="dxa"/>
              <w:left w:w="108" w:type="dxa"/>
              <w:bottom w:w="0" w:type="dxa"/>
              <w:right w:w="108" w:type="dxa"/>
            </w:tcMar>
          </w:tcPr>
          <w:p w14:paraId="07228D9C" w14:textId="77777777" w:rsidR="000055AD" w:rsidRDefault="004B772A">
            <w:pPr>
              <w:spacing w:line="240" w:lineRule="auto"/>
              <w:jc w:val="left"/>
              <w:rPr>
                <w:rFonts w:cs="Times New Roman"/>
              </w:rPr>
            </w:pPr>
            <w:r>
              <w:rPr>
                <w:rFonts w:cs="Times New Roman"/>
                <w:b/>
              </w:rPr>
              <w:t>In- and exclusion criteria</w:t>
            </w:r>
            <w:r>
              <w:rPr>
                <w:rFonts w:cs="Times New Roman"/>
              </w:rPr>
              <w:br/>
              <w:t>Study includes context specific enablers for the policy intervention or context specific barriers that the policy intervention is based on.</w:t>
            </w:r>
          </w:p>
        </w:tc>
        <w:tc>
          <w:tcPr>
            <w:tcW w:w="861" w:type="pct"/>
            <w:tcBorders>
              <w:top w:val="single" w:sz="2" w:space="0" w:color="auto"/>
              <w:bottom w:val="single" w:sz="2" w:space="0" w:color="auto"/>
            </w:tcBorders>
            <w:shd w:val="clear" w:color="auto" w:fill="auto"/>
            <w:tcMar>
              <w:top w:w="15" w:type="dxa"/>
              <w:left w:w="108" w:type="dxa"/>
              <w:bottom w:w="0" w:type="dxa"/>
              <w:right w:w="108" w:type="dxa"/>
            </w:tcMar>
          </w:tcPr>
          <w:p w14:paraId="539F5431" w14:textId="77777777" w:rsidR="000055AD" w:rsidRDefault="004B772A">
            <w:pPr>
              <w:spacing w:line="240" w:lineRule="auto"/>
              <w:jc w:val="left"/>
              <w:rPr>
                <w:rFonts w:cs="Times New Roman"/>
              </w:rPr>
            </w:pPr>
            <w:r>
              <w:rPr>
                <w:rFonts w:cs="Times New Roman"/>
                <w:b/>
              </w:rPr>
              <w:t>In- and exclusion criteria</w:t>
            </w:r>
            <w:r>
              <w:rPr>
                <w:rFonts w:cs="Times New Roman"/>
              </w:rPr>
              <w:br/>
              <w:t>Study uses an empirical ex-post evaluation method (Qualitative or Quantitative).</w:t>
            </w:r>
          </w:p>
        </w:tc>
        <w:tc>
          <w:tcPr>
            <w:tcW w:w="718" w:type="pct"/>
            <w:tcBorders>
              <w:top w:val="single" w:sz="2" w:space="0" w:color="auto"/>
              <w:bottom w:val="single" w:sz="2" w:space="0" w:color="auto"/>
            </w:tcBorders>
            <w:shd w:val="clear" w:color="auto" w:fill="auto"/>
            <w:tcMar>
              <w:top w:w="15" w:type="dxa"/>
              <w:left w:w="108" w:type="dxa"/>
              <w:bottom w:w="0" w:type="dxa"/>
              <w:right w:w="108" w:type="dxa"/>
            </w:tcMar>
          </w:tcPr>
          <w:p w14:paraId="226DB052" w14:textId="77777777" w:rsidR="000055AD" w:rsidRDefault="004B772A">
            <w:pPr>
              <w:spacing w:line="240" w:lineRule="auto"/>
              <w:jc w:val="left"/>
              <w:rPr>
                <w:rFonts w:cs="Times New Roman"/>
              </w:rPr>
            </w:pPr>
            <w:r>
              <w:rPr>
                <w:rFonts w:cs="Times New Roman"/>
                <w:b/>
              </w:rPr>
              <w:t>Mitigation technologies</w:t>
            </w:r>
            <w:r>
              <w:rPr>
                <w:rFonts w:cs="Times New Roman"/>
              </w:rPr>
              <w:t>:</w:t>
            </w:r>
            <w:r>
              <w:rPr>
                <w:rFonts w:cs="Times New Roman"/>
              </w:rPr>
              <w:br/>
              <w:t>increase in deployment, best practice policy</w:t>
            </w:r>
            <w:r>
              <w:rPr>
                <w:rFonts w:cs="Times New Roman"/>
              </w:rPr>
              <w:br/>
            </w:r>
            <w:r>
              <w:rPr>
                <w:rFonts w:cs="Times New Roman"/>
                <w:b/>
              </w:rPr>
              <w:t>Fossil fuel technologies</w:t>
            </w:r>
            <w:r>
              <w:rPr>
                <w:rFonts w:cs="Times New Roman"/>
              </w:rPr>
              <w:t xml:space="preserve">: </w:t>
            </w:r>
            <w:r>
              <w:rPr>
                <w:rFonts w:cs="Times New Roman"/>
              </w:rPr>
              <w:br/>
              <w:t>decrease of deployment, best practice policy</w:t>
            </w:r>
            <w:r>
              <w:rPr>
                <w:rFonts w:cs="Times New Roman"/>
              </w:rPr>
              <w:br/>
            </w:r>
            <w:r>
              <w:rPr>
                <w:rFonts w:cs="Times New Roman"/>
                <w:b/>
              </w:rPr>
              <w:t>In- and exclusion criteria</w:t>
            </w:r>
            <w:r>
              <w:rPr>
                <w:rFonts w:cs="Times New Roman"/>
                <w:b/>
              </w:rPr>
              <w:br/>
            </w:r>
            <w:r>
              <w:rPr>
                <w:rFonts w:cs="Times New Roman"/>
              </w:rPr>
              <w:t>Study includes an effective climate policy with regard to technology deployment or phase-out.</w:t>
            </w:r>
          </w:p>
        </w:tc>
        <w:tc>
          <w:tcPr>
            <w:tcW w:w="742" w:type="pct"/>
            <w:tcBorders>
              <w:top w:val="single" w:sz="2" w:space="0" w:color="auto"/>
              <w:bottom w:val="single" w:sz="2" w:space="0" w:color="auto"/>
            </w:tcBorders>
            <w:shd w:val="clear" w:color="auto" w:fill="auto"/>
            <w:tcMar>
              <w:top w:w="15" w:type="dxa"/>
              <w:left w:w="108" w:type="dxa"/>
              <w:bottom w:w="0" w:type="dxa"/>
              <w:right w:w="108" w:type="dxa"/>
            </w:tcMar>
          </w:tcPr>
          <w:p w14:paraId="65120F6E" w14:textId="77777777" w:rsidR="000055AD" w:rsidRDefault="004B772A">
            <w:pPr>
              <w:spacing w:line="240" w:lineRule="auto"/>
              <w:jc w:val="left"/>
              <w:rPr>
                <w:rFonts w:cs="Times New Roman"/>
              </w:rPr>
            </w:pPr>
            <w:r>
              <w:rPr>
                <w:rFonts w:cs="Times New Roman"/>
                <w:b/>
              </w:rPr>
              <w:t>In- and exclusion criteria</w:t>
            </w:r>
            <w:r>
              <w:rPr>
                <w:rFonts w:cs="Times New Roman"/>
              </w:rPr>
              <w:br/>
              <w:t>Study is not a single method literature review.</w:t>
            </w:r>
          </w:p>
        </w:tc>
      </w:tr>
    </w:tbl>
    <w:p w14:paraId="343BA968" w14:textId="77777777" w:rsidR="000055AD" w:rsidRDefault="000055AD">
      <w:pPr>
        <w:spacing w:line="240" w:lineRule="auto"/>
        <w:rPr>
          <w:rFonts w:eastAsia="Times New Roman" w:cs="Times New Roman"/>
          <w:b/>
          <w:bCs/>
          <w:sz w:val="24"/>
          <w:szCs w:val="24"/>
        </w:rPr>
      </w:pPr>
    </w:p>
    <w:p w14:paraId="6FDEDA63" w14:textId="77777777" w:rsidR="000055AD" w:rsidRDefault="000055AD">
      <w:pPr>
        <w:spacing w:line="240" w:lineRule="auto"/>
        <w:rPr>
          <w:rFonts w:eastAsia="Times New Roman" w:cs="Times New Roman"/>
          <w:b/>
          <w:bCs/>
          <w:sz w:val="24"/>
          <w:szCs w:val="24"/>
        </w:rPr>
      </w:pPr>
    </w:p>
    <w:p w14:paraId="536D0AFA" w14:textId="77777777" w:rsidR="000055AD" w:rsidRDefault="000055AD">
      <w:pPr>
        <w:spacing w:line="240" w:lineRule="auto"/>
        <w:rPr>
          <w:rFonts w:eastAsia="Times New Roman" w:cs="Times New Roman"/>
          <w:b/>
          <w:bCs/>
          <w:sz w:val="24"/>
          <w:szCs w:val="24"/>
        </w:rPr>
      </w:pPr>
    </w:p>
    <w:p w14:paraId="194AF68F" w14:textId="77777777" w:rsidR="000055AD" w:rsidRDefault="000055AD">
      <w:pPr>
        <w:spacing w:line="240" w:lineRule="auto"/>
        <w:rPr>
          <w:rFonts w:eastAsia="Times New Roman" w:cs="Times New Roman"/>
          <w:b/>
          <w:bCs/>
          <w:sz w:val="24"/>
          <w:szCs w:val="24"/>
        </w:rPr>
      </w:pPr>
    </w:p>
    <w:p w14:paraId="6BE18857" w14:textId="77777777" w:rsidR="000055AD" w:rsidRDefault="004B772A">
      <w:pPr>
        <w:pStyle w:val="Heading2"/>
        <w:rPr>
          <w:rFonts w:ascii="Times New Roman" w:hAnsi="Times New Roman" w:cs="Times New Roman"/>
        </w:rPr>
      </w:pPr>
      <w:bookmarkStart w:id="3" w:name="_Toc226028141"/>
      <w:r>
        <w:rPr>
          <w:rFonts w:ascii="Times New Roman" w:hAnsi="Times New Roman" w:cs="Times New Roman"/>
        </w:rPr>
        <w:lastRenderedPageBreak/>
        <w:t xml:space="preserve">Table OA </w:t>
      </w:r>
      <w:r>
        <w:rPr>
          <w:rFonts w:ascii="Times New Roman" w:hAnsi="Times New Roman" w:cs="Times New Roman"/>
        </w:rPr>
        <w:fldChar w:fldCharType="begin"/>
      </w:r>
      <w:r>
        <w:rPr>
          <w:rFonts w:ascii="Times New Roman" w:hAnsi="Times New Roman" w:cs="Times New Roman"/>
        </w:rPr>
        <w:instrText xml:space="preserve"> SEQ Table_OA \* ARABIC </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r>
        <w:rPr>
          <w:rFonts w:ascii="Times New Roman" w:hAnsi="Times New Roman" w:cs="Times New Roman"/>
        </w:rPr>
        <w:t xml:space="preserve"> Search string</w:t>
      </w:r>
      <w:bookmarkEnd w:id="3"/>
    </w:p>
    <w:p w14:paraId="46385AE1" w14:textId="77777777" w:rsidR="000055AD" w:rsidRDefault="004B772A">
      <w:pPr>
        <w:rPr>
          <w:rFonts w:cs="Times New Roman"/>
        </w:rPr>
      </w:pPr>
      <w:r>
        <w:rPr>
          <w:rFonts w:cs="Times New Roman"/>
          <w:szCs w:val="20"/>
        </w:rPr>
        <w:t xml:space="preserve">Note. </w:t>
      </w:r>
      <w:r>
        <w:rPr>
          <w:rFonts w:cs="Times New Roman"/>
        </w:rPr>
        <w:t>Table OB. 2 reports the search string for the data bases Web of Science and Scopus including the number of resulting articles and date of the search.</w:t>
      </w:r>
    </w:p>
    <w:tbl>
      <w:tblPr>
        <w:tblStyle w:val="TableGridLight"/>
        <w:tblW w:w="0" w:type="auto"/>
        <w:tblLook w:val="04A0" w:firstRow="1" w:lastRow="0" w:firstColumn="1" w:lastColumn="0" w:noHBand="0" w:noVBand="1"/>
      </w:tblPr>
      <w:tblGrid>
        <w:gridCol w:w="7324"/>
        <w:gridCol w:w="1116"/>
        <w:gridCol w:w="956"/>
      </w:tblGrid>
      <w:tr w:rsidR="000055AD" w14:paraId="4A9E62FC" w14:textId="77777777">
        <w:tc>
          <w:tcPr>
            <w:tcW w:w="7324" w:type="dxa"/>
          </w:tcPr>
          <w:p w14:paraId="7B034B84" w14:textId="77777777" w:rsidR="000055AD" w:rsidRDefault="004B772A">
            <w:pPr>
              <w:rPr>
                <w:rFonts w:eastAsia="Times New Roman" w:cs="Times New Roman"/>
                <w:b/>
                <w:bCs/>
                <w:szCs w:val="20"/>
              </w:rPr>
            </w:pPr>
            <w:r>
              <w:rPr>
                <w:rFonts w:cs="Times New Roman"/>
                <w:b/>
                <w:bCs/>
                <w:szCs w:val="20"/>
              </w:rPr>
              <w:t>Search string</w:t>
            </w:r>
          </w:p>
        </w:tc>
        <w:tc>
          <w:tcPr>
            <w:tcW w:w="1116" w:type="dxa"/>
          </w:tcPr>
          <w:p w14:paraId="487508BB" w14:textId="77777777" w:rsidR="000055AD" w:rsidRDefault="004B772A">
            <w:pPr>
              <w:rPr>
                <w:rFonts w:eastAsia="Times New Roman" w:cs="Times New Roman"/>
                <w:b/>
                <w:bCs/>
                <w:szCs w:val="20"/>
              </w:rPr>
            </w:pPr>
            <w:r>
              <w:rPr>
                <w:rFonts w:cs="Times New Roman"/>
                <w:b/>
                <w:bCs/>
                <w:szCs w:val="20"/>
              </w:rPr>
              <w:t>Date</w:t>
            </w:r>
          </w:p>
        </w:tc>
        <w:tc>
          <w:tcPr>
            <w:tcW w:w="956" w:type="dxa"/>
          </w:tcPr>
          <w:p w14:paraId="4CDCB87D" w14:textId="77777777" w:rsidR="000055AD" w:rsidRDefault="004B772A">
            <w:pPr>
              <w:rPr>
                <w:rFonts w:eastAsia="Times New Roman" w:cs="Times New Roman"/>
                <w:b/>
                <w:bCs/>
                <w:szCs w:val="20"/>
              </w:rPr>
            </w:pPr>
            <w:r>
              <w:rPr>
                <w:rFonts w:cs="Times New Roman"/>
                <w:b/>
                <w:bCs/>
                <w:szCs w:val="20"/>
              </w:rPr>
              <w:t>Results</w:t>
            </w:r>
          </w:p>
        </w:tc>
      </w:tr>
      <w:tr w:rsidR="000055AD" w14:paraId="64E7DBF3" w14:textId="77777777">
        <w:tc>
          <w:tcPr>
            <w:tcW w:w="7324" w:type="dxa"/>
          </w:tcPr>
          <w:p w14:paraId="394833A4" w14:textId="77777777" w:rsidR="000055AD" w:rsidRDefault="004B772A">
            <w:pPr>
              <w:spacing w:line="240" w:lineRule="auto"/>
              <w:jc w:val="left"/>
              <w:rPr>
                <w:rFonts w:eastAsia="Times New Roman" w:cs="Times New Roman"/>
                <w:bCs/>
                <w:szCs w:val="20"/>
              </w:rPr>
            </w:pPr>
            <w:r>
              <w:rPr>
                <w:rFonts w:eastAsia="Times New Roman" w:cs="Times New Roman"/>
                <w:bCs/>
                <w:szCs w:val="20"/>
              </w:rPr>
              <w:t>TS</w:t>
            </w:r>
            <w:proofErr w:type="gramStart"/>
            <w:r>
              <w:rPr>
                <w:rFonts w:eastAsia="Times New Roman" w:cs="Times New Roman"/>
                <w:bCs/>
                <w:szCs w:val="20"/>
              </w:rPr>
              <w:t>=(</w:t>
            </w:r>
            <w:proofErr w:type="gramEnd"/>
          </w:p>
          <w:p w14:paraId="21F1E91B" w14:textId="77777777" w:rsidR="000055AD" w:rsidRDefault="004B772A">
            <w:pPr>
              <w:spacing w:line="240" w:lineRule="auto"/>
              <w:jc w:val="left"/>
              <w:rPr>
                <w:rFonts w:eastAsia="Times New Roman" w:cs="Times New Roman"/>
                <w:bCs/>
                <w:szCs w:val="20"/>
              </w:rPr>
            </w:pPr>
            <w:r>
              <w:rPr>
                <w:rFonts w:eastAsia="Times New Roman" w:cs="Times New Roman"/>
                <w:bCs/>
                <w:szCs w:val="20"/>
              </w:rPr>
              <w:t>("</w:t>
            </w:r>
            <w:proofErr w:type="spellStart"/>
            <w:r>
              <w:rPr>
                <w:rFonts w:eastAsia="Times New Roman" w:cs="Times New Roman"/>
                <w:bCs/>
                <w:szCs w:val="20"/>
              </w:rPr>
              <w:t>polic</w:t>
            </w:r>
            <w:proofErr w:type="spellEnd"/>
            <w:r>
              <w:rPr>
                <w:rFonts w:eastAsia="Times New Roman" w:cs="Times New Roman"/>
                <w:bCs/>
                <w:szCs w:val="20"/>
              </w:rPr>
              <w:t>*” OR “</w:t>
            </w:r>
            <w:proofErr w:type="spellStart"/>
            <w:proofErr w:type="gramStart"/>
            <w:r>
              <w:rPr>
                <w:rFonts w:eastAsia="Times New Roman" w:cs="Times New Roman"/>
                <w:bCs/>
                <w:szCs w:val="20"/>
              </w:rPr>
              <w:t>Just?Energy</w:t>
            </w:r>
            <w:proofErr w:type="gramEnd"/>
            <w:r>
              <w:rPr>
                <w:rFonts w:eastAsia="Times New Roman" w:cs="Times New Roman"/>
                <w:bCs/>
                <w:szCs w:val="20"/>
              </w:rPr>
              <w:t>?Transition?Partnership</w:t>
            </w:r>
            <w:proofErr w:type="spellEnd"/>
            <w:r>
              <w:rPr>
                <w:rFonts w:eastAsia="Times New Roman" w:cs="Times New Roman"/>
                <w:bCs/>
                <w:szCs w:val="20"/>
              </w:rPr>
              <w:t>*” OR “</w:t>
            </w:r>
            <w:proofErr w:type="spellStart"/>
            <w:r>
              <w:rPr>
                <w:rFonts w:eastAsia="Times New Roman" w:cs="Times New Roman"/>
                <w:bCs/>
                <w:szCs w:val="20"/>
              </w:rPr>
              <w:t>Climate$Clubs</w:t>
            </w:r>
            <w:proofErr w:type="spellEnd"/>
            <w:r>
              <w:rPr>
                <w:rFonts w:eastAsia="Times New Roman" w:cs="Times New Roman"/>
                <w:bCs/>
                <w:szCs w:val="20"/>
              </w:rPr>
              <w:t>” OR “</w:t>
            </w:r>
            <w:proofErr w:type="spellStart"/>
            <w:r>
              <w:rPr>
                <w:rFonts w:eastAsia="Times New Roman" w:cs="Times New Roman"/>
                <w:bCs/>
                <w:szCs w:val="20"/>
              </w:rPr>
              <w:t>Carbon$Clubs</w:t>
            </w:r>
            <w:proofErr w:type="spellEnd"/>
            <w:r>
              <w:rPr>
                <w:rFonts w:eastAsia="Times New Roman" w:cs="Times New Roman"/>
                <w:bCs/>
                <w:szCs w:val="20"/>
              </w:rPr>
              <w:t>” OR (“international*” NEAR/3 “transfer$”) OR (“international*” NEAR/3 “cooperation$”) OR “International Treat*” OR “Climate Treat*” OR “</w:t>
            </w:r>
            <w:proofErr w:type="spellStart"/>
            <w:r>
              <w:rPr>
                <w:rFonts w:eastAsia="Times New Roman" w:cs="Times New Roman"/>
                <w:bCs/>
                <w:szCs w:val="20"/>
              </w:rPr>
              <w:t>Climate$Agreement</w:t>
            </w:r>
            <w:proofErr w:type="spellEnd"/>
            <w:r>
              <w:rPr>
                <w:rFonts w:eastAsia="Times New Roman" w:cs="Times New Roman"/>
                <w:bCs/>
                <w:szCs w:val="20"/>
              </w:rPr>
              <w:t>*”) AND</w:t>
            </w:r>
          </w:p>
          <w:p w14:paraId="58887212" w14:textId="77777777" w:rsidR="000055AD" w:rsidRDefault="004B772A">
            <w:pPr>
              <w:spacing w:line="240" w:lineRule="auto"/>
              <w:jc w:val="left"/>
              <w:rPr>
                <w:rFonts w:eastAsia="Times New Roman" w:cs="Times New Roman"/>
                <w:bCs/>
                <w:szCs w:val="20"/>
              </w:rPr>
            </w:pPr>
            <w:r>
              <w:rPr>
                <w:rFonts w:eastAsia="Times New Roman" w:cs="Times New Roman"/>
                <w:bCs/>
                <w:szCs w:val="20"/>
              </w:rPr>
              <w:t>(((“energy” OR “transport*” OR “building*” OR “</w:t>
            </w:r>
            <w:proofErr w:type="spellStart"/>
            <w:r>
              <w:rPr>
                <w:rFonts w:eastAsia="Times New Roman" w:cs="Times New Roman"/>
                <w:bCs/>
                <w:szCs w:val="20"/>
              </w:rPr>
              <w:t>industr</w:t>
            </w:r>
            <w:proofErr w:type="spellEnd"/>
            <w:r>
              <w:rPr>
                <w:rFonts w:eastAsia="Times New Roman" w:cs="Times New Roman"/>
                <w:bCs/>
                <w:szCs w:val="20"/>
              </w:rPr>
              <w:t>*” OR “sector*”) AND (“</w:t>
            </w:r>
            <w:proofErr w:type="spellStart"/>
            <w:r>
              <w:rPr>
                <w:rFonts w:eastAsia="Times New Roman" w:cs="Times New Roman"/>
                <w:bCs/>
                <w:szCs w:val="20"/>
              </w:rPr>
              <w:t>climat</w:t>
            </w:r>
            <w:proofErr w:type="spellEnd"/>
            <w:r>
              <w:rPr>
                <w:rFonts w:eastAsia="Times New Roman" w:cs="Times New Roman"/>
                <w:bCs/>
                <w:szCs w:val="20"/>
              </w:rPr>
              <w:t>*” OR "</w:t>
            </w:r>
            <w:proofErr w:type="spellStart"/>
            <w:r>
              <w:rPr>
                <w:rFonts w:eastAsia="Times New Roman" w:cs="Times New Roman"/>
                <w:bCs/>
                <w:szCs w:val="20"/>
              </w:rPr>
              <w:t>net$zero</w:t>
            </w:r>
            <w:proofErr w:type="spellEnd"/>
            <w:r>
              <w:rPr>
                <w:rFonts w:eastAsia="Times New Roman" w:cs="Times New Roman"/>
                <w:bCs/>
                <w:szCs w:val="20"/>
              </w:rPr>
              <w:t>" OR "</w:t>
            </w:r>
            <w:proofErr w:type="spellStart"/>
            <w:r>
              <w:rPr>
                <w:rFonts w:eastAsia="Times New Roman" w:cs="Times New Roman"/>
                <w:bCs/>
                <w:szCs w:val="20"/>
              </w:rPr>
              <w:t>low$carbon</w:t>
            </w:r>
            <w:proofErr w:type="spellEnd"/>
            <w:r>
              <w:rPr>
                <w:rFonts w:eastAsia="Times New Roman" w:cs="Times New Roman"/>
                <w:bCs/>
                <w:szCs w:val="20"/>
              </w:rPr>
              <w:t>" OR “emission*” OR “CO2*” OR “GHG*” OR “</w:t>
            </w:r>
            <w:proofErr w:type="spellStart"/>
            <w:r>
              <w:rPr>
                <w:rFonts w:eastAsia="Times New Roman" w:cs="Times New Roman"/>
                <w:bCs/>
                <w:szCs w:val="20"/>
              </w:rPr>
              <w:t>greenhouse$gas</w:t>
            </w:r>
            <w:proofErr w:type="spellEnd"/>
            <w:r>
              <w:rPr>
                <w:rFonts w:eastAsia="Times New Roman" w:cs="Times New Roman"/>
                <w:bCs/>
                <w:szCs w:val="20"/>
              </w:rPr>
              <w:t>*” OR “</w:t>
            </w:r>
            <w:proofErr w:type="spellStart"/>
            <w:r>
              <w:rPr>
                <w:rFonts w:eastAsia="Times New Roman" w:cs="Times New Roman"/>
                <w:bCs/>
                <w:szCs w:val="20"/>
              </w:rPr>
              <w:t>decarboni?ation</w:t>
            </w:r>
            <w:proofErr w:type="spellEnd"/>
            <w:r>
              <w:rPr>
                <w:rFonts w:eastAsia="Times New Roman" w:cs="Times New Roman"/>
                <w:bCs/>
                <w:szCs w:val="20"/>
              </w:rPr>
              <w:t>*”) AND (("best" OR "good" OR "success*" OR “effective” OR “efficient”) NEAR/5 ("</w:t>
            </w:r>
            <w:proofErr w:type="spellStart"/>
            <w:r>
              <w:rPr>
                <w:rFonts w:eastAsia="Times New Roman" w:cs="Times New Roman"/>
                <w:bCs/>
                <w:szCs w:val="20"/>
              </w:rPr>
              <w:t>polic</w:t>
            </w:r>
            <w:proofErr w:type="spellEnd"/>
            <w:r>
              <w:rPr>
                <w:rFonts w:eastAsia="Times New Roman" w:cs="Times New Roman"/>
                <w:bCs/>
                <w:szCs w:val="20"/>
              </w:rPr>
              <w:t>*" OR “regulation$”) OR ((“</w:t>
            </w:r>
            <w:proofErr w:type="spellStart"/>
            <w:r>
              <w:rPr>
                <w:rFonts w:eastAsia="Times New Roman" w:cs="Times New Roman"/>
                <w:bCs/>
                <w:szCs w:val="20"/>
              </w:rPr>
              <w:t>best?practice</w:t>
            </w:r>
            <w:proofErr w:type="spellEnd"/>
            <w:r>
              <w:rPr>
                <w:rFonts w:eastAsia="Times New Roman" w:cs="Times New Roman"/>
                <w:bCs/>
                <w:szCs w:val="20"/>
              </w:rPr>
              <w:t>”) NEAR/10 ("</w:t>
            </w:r>
            <w:proofErr w:type="spellStart"/>
            <w:r>
              <w:rPr>
                <w:rFonts w:eastAsia="Times New Roman" w:cs="Times New Roman"/>
                <w:bCs/>
                <w:szCs w:val="20"/>
              </w:rPr>
              <w:t>polic</w:t>
            </w:r>
            <w:proofErr w:type="spellEnd"/>
            <w:r>
              <w:rPr>
                <w:rFonts w:eastAsia="Times New Roman" w:cs="Times New Roman"/>
                <w:bCs/>
                <w:szCs w:val="20"/>
              </w:rPr>
              <w:t>*" OR “regulation$”))</w:t>
            </w:r>
          </w:p>
          <w:p w14:paraId="058CFE66" w14:textId="77777777" w:rsidR="000055AD" w:rsidRDefault="004B772A">
            <w:pPr>
              <w:spacing w:line="240" w:lineRule="auto"/>
              <w:jc w:val="left"/>
              <w:rPr>
                <w:rFonts w:eastAsia="Times New Roman" w:cs="Times New Roman"/>
                <w:bCs/>
                <w:szCs w:val="20"/>
              </w:rPr>
            </w:pPr>
            <w:r>
              <w:rPr>
                <w:rFonts w:eastAsia="Times New Roman" w:cs="Times New Roman"/>
                <w:bCs/>
                <w:szCs w:val="20"/>
              </w:rPr>
              <w:t>) )</w:t>
            </w:r>
          </w:p>
          <w:p w14:paraId="0D084B13"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 OR ((("mitigation" OR "emission* reduction*" OR "</w:t>
            </w:r>
            <w:proofErr w:type="spellStart"/>
            <w:r>
              <w:rPr>
                <w:rFonts w:eastAsia="Times New Roman" w:cs="Times New Roman"/>
                <w:bCs/>
                <w:szCs w:val="20"/>
              </w:rPr>
              <w:t>net$zero</w:t>
            </w:r>
            <w:proofErr w:type="spellEnd"/>
            <w:r>
              <w:rPr>
                <w:rFonts w:eastAsia="Times New Roman" w:cs="Times New Roman"/>
                <w:bCs/>
                <w:szCs w:val="20"/>
              </w:rPr>
              <w:t>" OR "low* carbon") NEAR/5 ("</w:t>
            </w:r>
            <w:proofErr w:type="spellStart"/>
            <w:r>
              <w:rPr>
                <w:rFonts w:eastAsia="Times New Roman" w:cs="Times New Roman"/>
                <w:bCs/>
                <w:szCs w:val="20"/>
              </w:rPr>
              <w:t>technolog</w:t>
            </w:r>
            <w:proofErr w:type="spellEnd"/>
            <w:r>
              <w:rPr>
                <w:rFonts w:eastAsia="Times New Roman" w:cs="Times New Roman"/>
                <w:bCs/>
                <w:szCs w:val="20"/>
              </w:rPr>
              <w:t>*" or "option*")) OR</w:t>
            </w:r>
          </w:p>
          <w:p w14:paraId="1234DE57"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 (("renewable*" OR "solar" OR "wind" OR "hydro" OR "biomass" OR "nuclear" OR "geotherm*" OR "</w:t>
            </w:r>
            <w:proofErr w:type="spellStart"/>
            <w:r>
              <w:rPr>
                <w:rFonts w:eastAsia="Times New Roman" w:cs="Times New Roman"/>
                <w:bCs/>
                <w:szCs w:val="20"/>
              </w:rPr>
              <w:t>solar$thermal</w:t>
            </w:r>
            <w:proofErr w:type="spellEnd"/>
            <w:r>
              <w:rPr>
                <w:rFonts w:eastAsia="Times New Roman" w:cs="Times New Roman"/>
                <w:bCs/>
                <w:szCs w:val="20"/>
              </w:rPr>
              <w:t>" OR "batter*" or "storage" OR "recycling" OR "hydrogen" OR "H2" OR "methanol" OR "ammonia" OR "</w:t>
            </w:r>
            <w:proofErr w:type="spellStart"/>
            <w:r>
              <w:rPr>
                <w:rFonts w:eastAsia="Times New Roman" w:cs="Times New Roman"/>
                <w:bCs/>
                <w:szCs w:val="20"/>
              </w:rPr>
              <w:t>methanol?to?olefins</w:t>
            </w:r>
            <w:proofErr w:type="spellEnd"/>
            <w:r>
              <w:rPr>
                <w:rFonts w:eastAsia="Times New Roman" w:cs="Times New Roman"/>
                <w:bCs/>
                <w:szCs w:val="20"/>
              </w:rPr>
              <w:t xml:space="preserve">" OR " </w:t>
            </w:r>
            <w:proofErr w:type="spellStart"/>
            <w:r>
              <w:rPr>
                <w:rFonts w:eastAsia="Times New Roman" w:cs="Times New Roman"/>
                <w:bCs/>
                <w:szCs w:val="20"/>
              </w:rPr>
              <w:t>power?to?liquid</w:t>
            </w:r>
            <w:proofErr w:type="spellEnd"/>
            <w:r>
              <w:rPr>
                <w:rFonts w:eastAsia="Times New Roman" w:cs="Times New Roman"/>
                <w:bCs/>
                <w:szCs w:val="20"/>
              </w:rPr>
              <w:t xml:space="preserve">" OR " </w:t>
            </w:r>
            <w:proofErr w:type="spellStart"/>
            <w:r>
              <w:rPr>
                <w:rFonts w:eastAsia="Times New Roman" w:cs="Times New Roman"/>
                <w:bCs/>
                <w:szCs w:val="20"/>
              </w:rPr>
              <w:t>power?to?gas</w:t>
            </w:r>
            <w:proofErr w:type="spellEnd"/>
            <w:r>
              <w:rPr>
                <w:rFonts w:eastAsia="Times New Roman" w:cs="Times New Roman"/>
                <w:bCs/>
                <w:szCs w:val="20"/>
              </w:rPr>
              <w:t>" OR "CCS" OR "CCU" OR "DAC*" OR "BECCS" OR "biochar" OR "e-fuel*" OR "</w:t>
            </w:r>
            <w:proofErr w:type="spellStart"/>
            <w:r>
              <w:rPr>
                <w:rFonts w:eastAsia="Times New Roman" w:cs="Times New Roman"/>
                <w:bCs/>
                <w:szCs w:val="20"/>
              </w:rPr>
              <w:t>electrofuel</w:t>
            </w:r>
            <w:proofErr w:type="spellEnd"/>
            <w:r>
              <w:rPr>
                <w:rFonts w:eastAsia="Times New Roman" w:cs="Times New Roman"/>
                <w:bCs/>
                <w:szCs w:val="20"/>
              </w:rPr>
              <w:t>*" OR "biofuel*" OR "bioenergy" OR "biodiesel" OR "ethanol*" OR "biomethane" OR "</w:t>
            </w:r>
            <w:proofErr w:type="spellStart"/>
            <w:r>
              <w:rPr>
                <w:rFonts w:eastAsia="Times New Roman" w:cs="Times New Roman"/>
                <w:bCs/>
                <w:szCs w:val="20"/>
              </w:rPr>
              <w:t>syn$fuel</w:t>
            </w:r>
            <w:proofErr w:type="spellEnd"/>
            <w:r>
              <w:rPr>
                <w:rFonts w:eastAsia="Times New Roman" w:cs="Times New Roman"/>
                <w:bCs/>
                <w:szCs w:val="20"/>
              </w:rPr>
              <w:t>*" OR "</w:t>
            </w:r>
            <w:proofErr w:type="spellStart"/>
            <w:r>
              <w:rPr>
                <w:rFonts w:eastAsia="Times New Roman" w:cs="Times New Roman"/>
                <w:bCs/>
                <w:szCs w:val="20"/>
              </w:rPr>
              <w:t>synthetic$fuel</w:t>
            </w:r>
            <w:proofErr w:type="spellEnd"/>
            <w:r>
              <w:rPr>
                <w:rFonts w:eastAsia="Times New Roman" w:cs="Times New Roman"/>
                <w:bCs/>
                <w:szCs w:val="20"/>
              </w:rPr>
              <w:t>*" OR "</w:t>
            </w:r>
            <w:proofErr w:type="spellStart"/>
            <w:r>
              <w:rPr>
                <w:rFonts w:eastAsia="Times New Roman" w:cs="Times New Roman"/>
                <w:bCs/>
                <w:szCs w:val="20"/>
              </w:rPr>
              <w:t>electric?arc?furnace</w:t>
            </w:r>
            <w:proofErr w:type="spellEnd"/>
            <w:r>
              <w:rPr>
                <w:rFonts w:eastAsia="Times New Roman" w:cs="Times New Roman"/>
                <w:bCs/>
                <w:szCs w:val="20"/>
              </w:rPr>
              <w:t>" OR "</w:t>
            </w:r>
            <w:proofErr w:type="spellStart"/>
            <w:r>
              <w:rPr>
                <w:rFonts w:eastAsia="Times New Roman" w:cs="Times New Roman"/>
                <w:bCs/>
                <w:szCs w:val="20"/>
              </w:rPr>
              <w:t>eaf</w:t>
            </w:r>
            <w:proofErr w:type="spellEnd"/>
            <w:r>
              <w:rPr>
                <w:rFonts w:eastAsia="Times New Roman" w:cs="Times New Roman"/>
                <w:bCs/>
                <w:szCs w:val="20"/>
              </w:rPr>
              <w:t>" OR "</w:t>
            </w:r>
            <w:proofErr w:type="spellStart"/>
            <w:r>
              <w:rPr>
                <w:rFonts w:eastAsia="Times New Roman" w:cs="Times New Roman"/>
                <w:bCs/>
                <w:szCs w:val="20"/>
              </w:rPr>
              <w:t>heat$pump</w:t>
            </w:r>
            <w:proofErr w:type="spellEnd"/>
            <w:r>
              <w:rPr>
                <w:rFonts w:eastAsia="Times New Roman" w:cs="Times New Roman"/>
                <w:bCs/>
                <w:szCs w:val="20"/>
              </w:rPr>
              <w:t>*" OR "</w:t>
            </w:r>
            <w:proofErr w:type="spellStart"/>
            <w:r>
              <w:rPr>
                <w:rFonts w:eastAsia="Times New Roman" w:cs="Times New Roman"/>
                <w:bCs/>
                <w:szCs w:val="20"/>
              </w:rPr>
              <w:t>electrode$boiler</w:t>
            </w:r>
            <w:proofErr w:type="spellEnd"/>
            <w:r>
              <w:rPr>
                <w:rFonts w:eastAsia="Times New Roman" w:cs="Times New Roman"/>
                <w:bCs/>
                <w:szCs w:val="20"/>
              </w:rPr>
              <w:t>*" OR "</w:t>
            </w:r>
            <w:proofErr w:type="spellStart"/>
            <w:r>
              <w:rPr>
                <w:rFonts w:eastAsia="Times New Roman" w:cs="Times New Roman"/>
                <w:bCs/>
                <w:szCs w:val="20"/>
              </w:rPr>
              <w:t>electric$vehicle</w:t>
            </w:r>
            <w:proofErr w:type="spellEnd"/>
            <w:r>
              <w:rPr>
                <w:rFonts w:eastAsia="Times New Roman" w:cs="Times New Roman"/>
                <w:bCs/>
                <w:szCs w:val="20"/>
              </w:rPr>
              <w:t>*" OR "EV" OR "</w:t>
            </w:r>
            <w:proofErr w:type="spellStart"/>
            <w:r>
              <w:rPr>
                <w:rFonts w:eastAsia="Times New Roman" w:cs="Times New Roman"/>
                <w:bCs/>
                <w:szCs w:val="20"/>
              </w:rPr>
              <w:t>fuel$cell</w:t>
            </w:r>
            <w:proofErr w:type="spellEnd"/>
            <w:r>
              <w:rPr>
                <w:rFonts w:eastAsia="Times New Roman" w:cs="Times New Roman"/>
                <w:bCs/>
                <w:szCs w:val="20"/>
              </w:rPr>
              <w:t xml:space="preserve">*")) </w:t>
            </w:r>
          </w:p>
          <w:p w14:paraId="11425932" w14:textId="77777777" w:rsidR="000055AD" w:rsidRDefault="004B772A">
            <w:pPr>
              <w:spacing w:line="240" w:lineRule="auto"/>
              <w:jc w:val="left"/>
              <w:rPr>
                <w:rFonts w:eastAsia="Times New Roman" w:cs="Times New Roman"/>
                <w:bCs/>
                <w:szCs w:val="20"/>
              </w:rPr>
            </w:pPr>
            <w:r>
              <w:rPr>
                <w:rFonts w:eastAsia="Times New Roman" w:cs="Times New Roman"/>
                <w:bCs/>
                <w:szCs w:val="20"/>
              </w:rPr>
              <w:t>NEAR/5 ("deployment" OR "rollout" OR "scaling*" OR "</w:t>
            </w:r>
            <w:proofErr w:type="spellStart"/>
            <w:r>
              <w:rPr>
                <w:rFonts w:eastAsia="Times New Roman" w:cs="Times New Roman"/>
                <w:bCs/>
                <w:szCs w:val="20"/>
              </w:rPr>
              <w:t>scale$up</w:t>
            </w:r>
            <w:proofErr w:type="spellEnd"/>
            <w:r>
              <w:rPr>
                <w:rFonts w:eastAsia="Times New Roman" w:cs="Times New Roman"/>
                <w:bCs/>
                <w:szCs w:val="20"/>
              </w:rPr>
              <w:t>" OR "</w:t>
            </w:r>
            <w:proofErr w:type="spellStart"/>
            <w:r>
              <w:rPr>
                <w:rFonts w:eastAsia="Times New Roman" w:cs="Times New Roman"/>
                <w:bCs/>
                <w:szCs w:val="20"/>
              </w:rPr>
              <w:t>scalab</w:t>
            </w:r>
            <w:proofErr w:type="spellEnd"/>
            <w:r>
              <w:rPr>
                <w:rFonts w:eastAsia="Times New Roman" w:cs="Times New Roman"/>
                <w:bCs/>
                <w:szCs w:val="20"/>
              </w:rPr>
              <w:t>*" OR "usage" OR "expansion" OR (("best" OR "good" OR "success*" OR “effective” OR “efficient”) NEAR/5 ("</w:t>
            </w:r>
            <w:proofErr w:type="spellStart"/>
            <w:r>
              <w:rPr>
                <w:rFonts w:eastAsia="Times New Roman" w:cs="Times New Roman"/>
                <w:bCs/>
                <w:szCs w:val="20"/>
              </w:rPr>
              <w:t>polic</w:t>
            </w:r>
            <w:proofErr w:type="spellEnd"/>
            <w:r>
              <w:rPr>
                <w:rFonts w:eastAsia="Times New Roman" w:cs="Times New Roman"/>
                <w:bCs/>
                <w:szCs w:val="20"/>
              </w:rPr>
              <w:t>*" OR “regulation$”)) OR ((“</w:t>
            </w:r>
            <w:proofErr w:type="spellStart"/>
            <w:proofErr w:type="gramStart"/>
            <w:r>
              <w:rPr>
                <w:rFonts w:eastAsia="Times New Roman" w:cs="Times New Roman"/>
                <w:bCs/>
                <w:szCs w:val="20"/>
              </w:rPr>
              <w:t>best?practice</w:t>
            </w:r>
            <w:proofErr w:type="spellEnd"/>
            <w:proofErr w:type="gramEnd"/>
            <w:r>
              <w:rPr>
                <w:rFonts w:eastAsia="Times New Roman" w:cs="Times New Roman"/>
                <w:bCs/>
                <w:szCs w:val="20"/>
              </w:rPr>
              <w:t>”) NEAR/10 ("</w:t>
            </w:r>
            <w:proofErr w:type="spellStart"/>
            <w:r>
              <w:rPr>
                <w:rFonts w:eastAsia="Times New Roman" w:cs="Times New Roman"/>
                <w:bCs/>
                <w:szCs w:val="20"/>
              </w:rPr>
              <w:t>polic</w:t>
            </w:r>
            <w:proofErr w:type="spellEnd"/>
            <w:r>
              <w:rPr>
                <w:rFonts w:eastAsia="Times New Roman" w:cs="Times New Roman"/>
                <w:bCs/>
                <w:szCs w:val="20"/>
              </w:rPr>
              <w:t>*" OR “regulation$”))</w:t>
            </w:r>
          </w:p>
          <w:p w14:paraId="39647F5F"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 </w:t>
            </w:r>
          </w:p>
          <w:p w14:paraId="5F773FCB" w14:textId="77777777" w:rsidR="000055AD" w:rsidRDefault="004B772A">
            <w:pPr>
              <w:spacing w:line="240" w:lineRule="auto"/>
              <w:jc w:val="left"/>
              <w:rPr>
                <w:rFonts w:eastAsia="Times New Roman" w:cs="Times New Roman"/>
                <w:bCs/>
                <w:szCs w:val="20"/>
              </w:rPr>
            </w:pPr>
            <w:r>
              <w:rPr>
                <w:rFonts w:eastAsia="Times New Roman" w:cs="Times New Roman"/>
                <w:bCs/>
                <w:szCs w:val="20"/>
              </w:rPr>
              <w:t>OR (("</w:t>
            </w:r>
            <w:proofErr w:type="spellStart"/>
            <w:r>
              <w:rPr>
                <w:rFonts w:eastAsia="Times New Roman" w:cs="Times New Roman"/>
                <w:bCs/>
                <w:szCs w:val="20"/>
              </w:rPr>
              <w:t>district$heat</w:t>
            </w:r>
            <w:proofErr w:type="spellEnd"/>
            <w:r>
              <w:rPr>
                <w:rFonts w:eastAsia="Times New Roman" w:cs="Times New Roman"/>
                <w:bCs/>
                <w:szCs w:val="20"/>
              </w:rPr>
              <w:t>*" OR "grid*" OR "heat* network*") NEAR/5 ("</w:t>
            </w:r>
            <w:proofErr w:type="spellStart"/>
            <w:r>
              <w:rPr>
                <w:rFonts w:eastAsia="Times New Roman" w:cs="Times New Roman"/>
                <w:bCs/>
                <w:szCs w:val="20"/>
              </w:rPr>
              <w:t>expan</w:t>
            </w:r>
            <w:proofErr w:type="spellEnd"/>
            <w:r>
              <w:rPr>
                <w:rFonts w:eastAsia="Times New Roman" w:cs="Times New Roman"/>
                <w:bCs/>
                <w:szCs w:val="20"/>
              </w:rPr>
              <w:t>*" OR "</w:t>
            </w:r>
            <w:proofErr w:type="spellStart"/>
            <w:r>
              <w:rPr>
                <w:rFonts w:eastAsia="Times New Roman" w:cs="Times New Roman"/>
                <w:bCs/>
                <w:szCs w:val="20"/>
              </w:rPr>
              <w:t>exten</w:t>
            </w:r>
            <w:proofErr w:type="spellEnd"/>
            <w:r>
              <w:rPr>
                <w:rFonts w:eastAsia="Times New Roman" w:cs="Times New Roman"/>
                <w:bCs/>
                <w:szCs w:val="20"/>
              </w:rPr>
              <w:t>*" OR (("best" OR "good" OR "success*" OR “effective” OR “efficient”) NEAR/5 ("</w:t>
            </w:r>
            <w:proofErr w:type="spellStart"/>
            <w:r>
              <w:rPr>
                <w:rFonts w:eastAsia="Times New Roman" w:cs="Times New Roman"/>
                <w:bCs/>
                <w:szCs w:val="20"/>
              </w:rPr>
              <w:t>polic</w:t>
            </w:r>
            <w:proofErr w:type="spellEnd"/>
            <w:r>
              <w:rPr>
                <w:rFonts w:eastAsia="Times New Roman" w:cs="Times New Roman"/>
                <w:bCs/>
                <w:szCs w:val="20"/>
              </w:rPr>
              <w:t>*" OR “regulation$”)) OR ((“</w:t>
            </w:r>
            <w:proofErr w:type="spellStart"/>
            <w:proofErr w:type="gramStart"/>
            <w:r>
              <w:rPr>
                <w:rFonts w:eastAsia="Times New Roman" w:cs="Times New Roman"/>
                <w:bCs/>
                <w:szCs w:val="20"/>
              </w:rPr>
              <w:t>best?practice</w:t>
            </w:r>
            <w:proofErr w:type="spellEnd"/>
            <w:proofErr w:type="gramEnd"/>
            <w:r>
              <w:rPr>
                <w:rFonts w:eastAsia="Times New Roman" w:cs="Times New Roman"/>
                <w:bCs/>
                <w:szCs w:val="20"/>
              </w:rPr>
              <w:t>”) NEAR/10 ("</w:t>
            </w:r>
            <w:proofErr w:type="spellStart"/>
            <w:r>
              <w:rPr>
                <w:rFonts w:eastAsia="Times New Roman" w:cs="Times New Roman"/>
                <w:bCs/>
                <w:szCs w:val="20"/>
              </w:rPr>
              <w:t>polic</w:t>
            </w:r>
            <w:proofErr w:type="spellEnd"/>
            <w:r>
              <w:rPr>
                <w:rFonts w:eastAsia="Times New Roman" w:cs="Times New Roman"/>
                <w:bCs/>
                <w:szCs w:val="20"/>
              </w:rPr>
              <w:t>*" OR “regulation$”))</w:t>
            </w:r>
          </w:p>
          <w:p w14:paraId="7CD7383E"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 </w:t>
            </w:r>
          </w:p>
          <w:p w14:paraId="67959922"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OR ("energetic refurbishment*" OR "energetic renovation*" OR "energetic rehabilitation*" OR "energy rehabilitation*" OR "energy renovation*") </w:t>
            </w:r>
          </w:p>
          <w:p w14:paraId="71209BDE" w14:textId="77777777" w:rsidR="000055AD" w:rsidRDefault="004B772A">
            <w:pPr>
              <w:spacing w:line="240" w:lineRule="auto"/>
              <w:jc w:val="left"/>
              <w:rPr>
                <w:rFonts w:eastAsia="Times New Roman" w:cs="Times New Roman"/>
                <w:bCs/>
                <w:szCs w:val="20"/>
              </w:rPr>
            </w:pPr>
            <w:r>
              <w:rPr>
                <w:rFonts w:eastAsia="Times New Roman" w:cs="Times New Roman"/>
                <w:bCs/>
                <w:szCs w:val="20"/>
              </w:rPr>
              <w:t>OR (("fossil*" OR "coal" OR "oil" or "gas") NEAR/5 ("phase* out*" OR "phase* down*" OR (("best" OR "good" OR "success*" OR “effective” OR “efficient”) NEAR/5 ("</w:t>
            </w:r>
            <w:proofErr w:type="spellStart"/>
            <w:r>
              <w:rPr>
                <w:rFonts w:eastAsia="Times New Roman" w:cs="Times New Roman"/>
                <w:bCs/>
                <w:szCs w:val="20"/>
              </w:rPr>
              <w:t>polic</w:t>
            </w:r>
            <w:proofErr w:type="spellEnd"/>
            <w:r>
              <w:rPr>
                <w:rFonts w:eastAsia="Times New Roman" w:cs="Times New Roman"/>
                <w:bCs/>
                <w:szCs w:val="20"/>
              </w:rPr>
              <w:t>*" OR “regulation$”)) OR ((“</w:t>
            </w:r>
            <w:proofErr w:type="spellStart"/>
            <w:proofErr w:type="gramStart"/>
            <w:r>
              <w:rPr>
                <w:rFonts w:eastAsia="Times New Roman" w:cs="Times New Roman"/>
                <w:bCs/>
                <w:szCs w:val="20"/>
              </w:rPr>
              <w:t>best?practice</w:t>
            </w:r>
            <w:proofErr w:type="spellEnd"/>
            <w:proofErr w:type="gramEnd"/>
            <w:r>
              <w:rPr>
                <w:rFonts w:eastAsia="Times New Roman" w:cs="Times New Roman"/>
                <w:bCs/>
                <w:szCs w:val="20"/>
              </w:rPr>
              <w:t>”) NEAR/10 ("</w:t>
            </w:r>
            <w:proofErr w:type="spellStart"/>
            <w:r>
              <w:rPr>
                <w:rFonts w:eastAsia="Times New Roman" w:cs="Times New Roman"/>
                <w:bCs/>
                <w:szCs w:val="20"/>
              </w:rPr>
              <w:t>polic</w:t>
            </w:r>
            <w:proofErr w:type="spellEnd"/>
            <w:r>
              <w:rPr>
                <w:rFonts w:eastAsia="Times New Roman" w:cs="Times New Roman"/>
                <w:bCs/>
                <w:szCs w:val="20"/>
              </w:rPr>
              <w:t>*" OR “regulation$”))</w:t>
            </w:r>
          </w:p>
          <w:p w14:paraId="0B0890C8" w14:textId="77777777" w:rsidR="000055AD" w:rsidRDefault="004B772A">
            <w:pPr>
              <w:spacing w:line="240" w:lineRule="auto"/>
              <w:jc w:val="left"/>
              <w:rPr>
                <w:rFonts w:eastAsia="Times New Roman" w:cs="Times New Roman"/>
                <w:bCs/>
                <w:szCs w:val="20"/>
              </w:rPr>
            </w:pPr>
            <w:r>
              <w:rPr>
                <w:rFonts w:eastAsia="Times New Roman" w:cs="Times New Roman"/>
                <w:bCs/>
                <w:szCs w:val="20"/>
              </w:rPr>
              <w:t>)))</w:t>
            </w:r>
          </w:p>
          <w:p w14:paraId="62A70951" w14:textId="77777777" w:rsidR="000055AD" w:rsidRDefault="004B772A">
            <w:pPr>
              <w:spacing w:line="240" w:lineRule="auto"/>
              <w:jc w:val="left"/>
              <w:rPr>
                <w:rFonts w:eastAsia="Times New Roman" w:cs="Times New Roman"/>
                <w:bCs/>
                <w:szCs w:val="20"/>
              </w:rPr>
            </w:pPr>
            <w:r>
              <w:rPr>
                <w:rFonts w:eastAsia="Times New Roman" w:cs="Times New Roman"/>
                <w:bCs/>
                <w:szCs w:val="20"/>
              </w:rPr>
              <w:t>NOT (“water” OR “</w:t>
            </w:r>
            <w:r>
              <w:rPr>
                <w:rFonts w:ascii="Cambria Math" w:eastAsia="Times New Roman" w:hAnsi="Cambria Math" w:cs="Cambria Math"/>
                <w:bCs/>
                <w:szCs w:val="20"/>
              </w:rPr>
              <w:t>∗</w:t>
            </w:r>
            <w:r>
              <w:rPr>
                <w:rFonts w:eastAsia="Times New Roman" w:cs="Times New Roman"/>
                <w:bCs/>
                <w:szCs w:val="20"/>
              </w:rPr>
              <w:t>forest</w:t>
            </w:r>
            <w:r>
              <w:rPr>
                <w:rFonts w:ascii="Cambria Math" w:eastAsia="Times New Roman" w:hAnsi="Cambria Math" w:cs="Cambria Math"/>
                <w:bCs/>
                <w:szCs w:val="20"/>
              </w:rPr>
              <w:t>∗</w:t>
            </w:r>
            <w:r>
              <w:rPr>
                <w:rFonts w:eastAsia="Times New Roman" w:cs="Times New Roman"/>
                <w:bCs/>
                <w:szCs w:val="20"/>
              </w:rPr>
              <w:t>” OR “farm*” OR “food*” OR “</w:t>
            </w:r>
            <w:proofErr w:type="spellStart"/>
            <w:r>
              <w:rPr>
                <w:rFonts w:eastAsia="Times New Roman" w:cs="Times New Roman"/>
                <w:bCs/>
                <w:szCs w:val="20"/>
              </w:rPr>
              <w:t>agric</w:t>
            </w:r>
            <w:proofErr w:type="spellEnd"/>
            <w:r>
              <w:rPr>
                <w:rFonts w:ascii="Cambria Math" w:eastAsia="Times New Roman" w:hAnsi="Cambria Math" w:cs="Cambria Math"/>
                <w:bCs/>
                <w:szCs w:val="20"/>
              </w:rPr>
              <w:t>∗</w:t>
            </w:r>
            <w:r>
              <w:rPr>
                <w:rFonts w:eastAsia="Times New Roman" w:cs="Times New Roman"/>
                <w:bCs/>
                <w:szCs w:val="20"/>
              </w:rPr>
              <w:t>” OR “</w:t>
            </w:r>
            <w:proofErr w:type="spellStart"/>
            <w:r>
              <w:rPr>
                <w:rFonts w:eastAsia="Times New Roman" w:cs="Times New Roman"/>
                <w:bCs/>
                <w:szCs w:val="20"/>
              </w:rPr>
              <w:t>agro</w:t>
            </w:r>
            <w:proofErr w:type="spellEnd"/>
            <w:r>
              <w:rPr>
                <w:rFonts w:ascii="Cambria Math" w:eastAsia="Times New Roman" w:hAnsi="Cambria Math" w:cs="Cambria Math"/>
                <w:bCs/>
                <w:szCs w:val="20"/>
              </w:rPr>
              <w:t>∗</w:t>
            </w:r>
            <w:r>
              <w:rPr>
                <w:rFonts w:eastAsia="Times New Roman" w:cs="Times New Roman"/>
                <w:bCs/>
                <w:szCs w:val="20"/>
              </w:rPr>
              <w:t>” OR “land* use” OR “LULUCF” OR “AFOLU”))</w:t>
            </w:r>
          </w:p>
        </w:tc>
        <w:tc>
          <w:tcPr>
            <w:tcW w:w="1116" w:type="dxa"/>
          </w:tcPr>
          <w:p w14:paraId="3D1D5F43" w14:textId="77777777" w:rsidR="000055AD" w:rsidRDefault="004B772A">
            <w:pPr>
              <w:spacing w:line="240" w:lineRule="auto"/>
              <w:jc w:val="left"/>
              <w:rPr>
                <w:rFonts w:eastAsia="Times New Roman" w:cs="Times New Roman"/>
                <w:bCs/>
                <w:szCs w:val="20"/>
              </w:rPr>
            </w:pPr>
            <w:r>
              <w:rPr>
                <w:rFonts w:eastAsia="Times New Roman" w:cs="Times New Roman"/>
                <w:bCs/>
                <w:szCs w:val="20"/>
              </w:rPr>
              <w:t>16.08.2023</w:t>
            </w:r>
          </w:p>
        </w:tc>
        <w:tc>
          <w:tcPr>
            <w:tcW w:w="956" w:type="dxa"/>
          </w:tcPr>
          <w:p w14:paraId="2ADC6A54" w14:textId="77777777" w:rsidR="000055AD" w:rsidRDefault="004B772A">
            <w:pPr>
              <w:spacing w:line="240" w:lineRule="auto"/>
              <w:jc w:val="left"/>
              <w:rPr>
                <w:rFonts w:eastAsia="Times New Roman" w:cs="Times New Roman"/>
                <w:bCs/>
                <w:szCs w:val="20"/>
              </w:rPr>
            </w:pPr>
            <w:r>
              <w:rPr>
                <w:rFonts w:eastAsia="Times New Roman" w:cs="Times New Roman"/>
                <w:bCs/>
                <w:szCs w:val="20"/>
              </w:rPr>
              <w:t>8265</w:t>
            </w:r>
          </w:p>
        </w:tc>
      </w:tr>
      <w:tr w:rsidR="000055AD" w14:paraId="17383CAA" w14:textId="77777777">
        <w:tc>
          <w:tcPr>
            <w:tcW w:w="7324" w:type="dxa"/>
          </w:tcPr>
          <w:p w14:paraId="2DEDE566" w14:textId="77777777" w:rsidR="000055AD" w:rsidRDefault="004B772A">
            <w:pPr>
              <w:spacing w:line="240" w:lineRule="auto"/>
              <w:jc w:val="left"/>
              <w:rPr>
                <w:rFonts w:eastAsia="Times New Roman" w:cs="Times New Roman"/>
                <w:bCs/>
                <w:szCs w:val="20"/>
              </w:rPr>
            </w:pPr>
            <w:r>
              <w:rPr>
                <w:rFonts w:eastAsia="Times New Roman" w:cs="Times New Roman"/>
                <w:bCs/>
                <w:szCs w:val="20"/>
              </w:rPr>
              <w:t>Web of science additional filter: Articles, Review Articles, Early Access, English</w:t>
            </w:r>
          </w:p>
        </w:tc>
        <w:tc>
          <w:tcPr>
            <w:tcW w:w="1116" w:type="dxa"/>
          </w:tcPr>
          <w:p w14:paraId="1A865804" w14:textId="77777777" w:rsidR="000055AD" w:rsidRDefault="004B772A">
            <w:pPr>
              <w:spacing w:line="240" w:lineRule="auto"/>
              <w:jc w:val="left"/>
              <w:rPr>
                <w:rFonts w:eastAsia="Times New Roman" w:cs="Times New Roman"/>
                <w:bCs/>
                <w:szCs w:val="20"/>
              </w:rPr>
            </w:pPr>
            <w:r>
              <w:rPr>
                <w:rFonts w:eastAsia="Times New Roman" w:cs="Times New Roman"/>
                <w:bCs/>
                <w:szCs w:val="20"/>
              </w:rPr>
              <w:t>16.08.2023</w:t>
            </w:r>
          </w:p>
        </w:tc>
        <w:tc>
          <w:tcPr>
            <w:tcW w:w="956" w:type="dxa"/>
          </w:tcPr>
          <w:p w14:paraId="2EEB62C0" w14:textId="77777777" w:rsidR="000055AD" w:rsidRDefault="004B772A">
            <w:pPr>
              <w:spacing w:line="240" w:lineRule="auto"/>
              <w:jc w:val="left"/>
              <w:rPr>
                <w:rFonts w:eastAsia="Times New Roman" w:cs="Times New Roman"/>
                <w:bCs/>
                <w:szCs w:val="20"/>
              </w:rPr>
            </w:pPr>
            <w:r>
              <w:rPr>
                <w:rFonts w:eastAsia="Times New Roman" w:cs="Times New Roman"/>
                <w:bCs/>
                <w:szCs w:val="20"/>
              </w:rPr>
              <w:t>7942</w:t>
            </w:r>
          </w:p>
        </w:tc>
      </w:tr>
      <w:tr w:rsidR="000055AD" w14:paraId="15A7B176" w14:textId="77777777">
        <w:tc>
          <w:tcPr>
            <w:tcW w:w="7324" w:type="dxa"/>
          </w:tcPr>
          <w:p w14:paraId="637C0239" w14:textId="77777777" w:rsidR="000055AD" w:rsidRDefault="004B772A">
            <w:pPr>
              <w:spacing w:line="240" w:lineRule="auto"/>
              <w:jc w:val="left"/>
              <w:rPr>
                <w:rFonts w:eastAsia="Times New Roman" w:cs="Times New Roman"/>
                <w:bCs/>
                <w:szCs w:val="20"/>
              </w:rPr>
            </w:pPr>
            <w:r>
              <w:rPr>
                <w:rFonts w:eastAsia="Times New Roman" w:cs="Times New Roman"/>
                <w:bCs/>
                <w:szCs w:val="20"/>
              </w:rPr>
              <w:t>TITLE-ABS-KEY (</w:t>
            </w:r>
          </w:p>
          <w:p w14:paraId="276E34F4" w14:textId="77777777" w:rsidR="000055AD" w:rsidRDefault="004B772A">
            <w:pPr>
              <w:spacing w:line="240" w:lineRule="auto"/>
              <w:jc w:val="left"/>
              <w:rPr>
                <w:rFonts w:eastAsia="Times New Roman" w:cs="Times New Roman"/>
                <w:bCs/>
                <w:szCs w:val="20"/>
              </w:rPr>
            </w:pPr>
            <w:r>
              <w:rPr>
                <w:rFonts w:eastAsia="Times New Roman" w:cs="Times New Roman"/>
                <w:bCs/>
                <w:szCs w:val="20"/>
              </w:rPr>
              <w:t>("</w:t>
            </w:r>
            <w:proofErr w:type="spellStart"/>
            <w:r>
              <w:rPr>
                <w:rFonts w:eastAsia="Times New Roman" w:cs="Times New Roman"/>
                <w:bCs/>
                <w:szCs w:val="20"/>
              </w:rPr>
              <w:t>polic</w:t>
            </w:r>
            <w:proofErr w:type="spellEnd"/>
            <w:r>
              <w:rPr>
                <w:rFonts w:eastAsia="Times New Roman" w:cs="Times New Roman"/>
                <w:bCs/>
                <w:szCs w:val="20"/>
              </w:rPr>
              <w:t>*” OR “Just Energy Transition Partnership*” OR “Climate Clubs” OR “Carbon Clubs” OR (“international*</w:t>
            </w:r>
            <w:proofErr w:type="gramStart"/>
            <w:r>
              <w:rPr>
                <w:rFonts w:eastAsia="Times New Roman" w:cs="Times New Roman"/>
                <w:bCs/>
                <w:szCs w:val="20"/>
              </w:rPr>
              <w:t>”  W</w:t>
            </w:r>
            <w:proofErr w:type="gramEnd"/>
            <w:r>
              <w:rPr>
                <w:rFonts w:eastAsia="Times New Roman" w:cs="Times New Roman"/>
                <w:bCs/>
                <w:szCs w:val="20"/>
              </w:rPr>
              <w:t>/3 “transfer ”) OR (“international*”  W/3 “cooperation ”) OR “International Treat*” OR “Climate Treat*” OR “Climate Agreement*”) AND</w:t>
            </w:r>
          </w:p>
          <w:p w14:paraId="49F22BDD" w14:textId="77777777" w:rsidR="000055AD" w:rsidRDefault="004B772A">
            <w:pPr>
              <w:spacing w:line="240" w:lineRule="auto"/>
              <w:jc w:val="left"/>
              <w:rPr>
                <w:rFonts w:eastAsia="Times New Roman" w:cs="Times New Roman"/>
                <w:bCs/>
                <w:szCs w:val="20"/>
              </w:rPr>
            </w:pPr>
            <w:r>
              <w:rPr>
                <w:rFonts w:eastAsia="Times New Roman" w:cs="Times New Roman"/>
                <w:bCs/>
                <w:szCs w:val="20"/>
              </w:rPr>
              <w:t>(((“energy” OR “transport*” OR “building*” OR “</w:t>
            </w:r>
            <w:proofErr w:type="spellStart"/>
            <w:r>
              <w:rPr>
                <w:rFonts w:eastAsia="Times New Roman" w:cs="Times New Roman"/>
                <w:bCs/>
                <w:szCs w:val="20"/>
              </w:rPr>
              <w:t>industr</w:t>
            </w:r>
            <w:proofErr w:type="spellEnd"/>
            <w:r>
              <w:rPr>
                <w:rFonts w:eastAsia="Times New Roman" w:cs="Times New Roman"/>
                <w:bCs/>
                <w:szCs w:val="20"/>
              </w:rPr>
              <w:t>*” OR “sector*”) AND (“</w:t>
            </w:r>
            <w:proofErr w:type="spellStart"/>
            <w:r>
              <w:rPr>
                <w:rFonts w:eastAsia="Times New Roman" w:cs="Times New Roman"/>
                <w:bCs/>
                <w:szCs w:val="20"/>
              </w:rPr>
              <w:t>climat</w:t>
            </w:r>
            <w:proofErr w:type="spellEnd"/>
            <w:r>
              <w:rPr>
                <w:rFonts w:eastAsia="Times New Roman" w:cs="Times New Roman"/>
                <w:bCs/>
                <w:szCs w:val="20"/>
              </w:rPr>
              <w:t>*” OR "net zero" OR "low carbon" OR “emission*” OR “CO2*” OR “GHG*” OR “greenhouse gas*” OR “</w:t>
            </w:r>
            <w:proofErr w:type="spellStart"/>
            <w:r>
              <w:rPr>
                <w:rFonts w:eastAsia="Times New Roman" w:cs="Times New Roman"/>
                <w:bCs/>
                <w:szCs w:val="20"/>
              </w:rPr>
              <w:t>decarboni</w:t>
            </w:r>
            <w:proofErr w:type="spellEnd"/>
            <w:r>
              <w:rPr>
                <w:rFonts w:eastAsia="Times New Roman" w:cs="Times New Roman"/>
                <w:bCs/>
                <w:szCs w:val="20"/>
              </w:rPr>
              <w:t xml:space="preserve"> </w:t>
            </w:r>
            <w:proofErr w:type="spellStart"/>
            <w:r>
              <w:rPr>
                <w:rFonts w:eastAsia="Times New Roman" w:cs="Times New Roman"/>
                <w:bCs/>
                <w:szCs w:val="20"/>
              </w:rPr>
              <w:t>ation</w:t>
            </w:r>
            <w:proofErr w:type="spellEnd"/>
            <w:r>
              <w:rPr>
                <w:rFonts w:eastAsia="Times New Roman" w:cs="Times New Roman"/>
                <w:bCs/>
                <w:szCs w:val="20"/>
              </w:rPr>
              <w:t>*”) AND (("best" OR "good" OR "success*" OR “effective” OR “efficient”)  W/5 ("</w:t>
            </w:r>
            <w:proofErr w:type="spellStart"/>
            <w:r>
              <w:rPr>
                <w:rFonts w:eastAsia="Times New Roman" w:cs="Times New Roman"/>
                <w:bCs/>
                <w:szCs w:val="20"/>
              </w:rPr>
              <w:t>polic</w:t>
            </w:r>
            <w:proofErr w:type="spellEnd"/>
            <w:r>
              <w:rPr>
                <w:rFonts w:eastAsia="Times New Roman" w:cs="Times New Roman"/>
                <w:bCs/>
                <w:szCs w:val="20"/>
              </w:rPr>
              <w:t>*" OR “regulation ”) OR ((“best practice”)  W/10 ("</w:t>
            </w:r>
            <w:proofErr w:type="spellStart"/>
            <w:r>
              <w:rPr>
                <w:rFonts w:eastAsia="Times New Roman" w:cs="Times New Roman"/>
                <w:bCs/>
                <w:szCs w:val="20"/>
              </w:rPr>
              <w:t>polic</w:t>
            </w:r>
            <w:proofErr w:type="spellEnd"/>
            <w:r>
              <w:rPr>
                <w:rFonts w:eastAsia="Times New Roman" w:cs="Times New Roman"/>
                <w:bCs/>
                <w:szCs w:val="20"/>
              </w:rPr>
              <w:t>*" OR “regulation ”))) )</w:t>
            </w:r>
          </w:p>
          <w:p w14:paraId="6A89921A" w14:textId="77777777" w:rsidR="000055AD" w:rsidRDefault="000055AD">
            <w:pPr>
              <w:spacing w:line="240" w:lineRule="auto"/>
              <w:jc w:val="left"/>
              <w:rPr>
                <w:rFonts w:eastAsia="Times New Roman" w:cs="Times New Roman"/>
                <w:bCs/>
                <w:szCs w:val="20"/>
              </w:rPr>
            </w:pPr>
          </w:p>
          <w:p w14:paraId="3AB6E0F6"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 OR ((("mitigation" OR "emission* reduction*" OR "net zero" OR "low* carbon</w:t>
            </w:r>
            <w:proofErr w:type="gramStart"/>
            <w:r>
              <w:rPr>
                <w:rFonts w:eastAsia="Times New Roman" w:cs="Times New Roman"/>
                <w:bCs/>
                <w:szCs w:val="20"/>
              </w:rPr>
              <w:t>")  W</w:t>
            </w:r>
            <w:proofErr w:type="gramEnd"/>
            <w:r>
              <w:rPr>
                <w:rFonts w:eastAsia="Times New Roman" w:cs="Times New Roman"/>
                <w:bCs/>
                <w:szCs w:val="20"/>
              </w:rPr>
              <w:t>/5 ("</w:t>
            </w:r>
            <w:proofErr w:type="spellStart"/>
            <w:r>
              <w:rPr>
                <w:rFonts w:eastAsia="Times New Roman" w:cs="Times New Roman"/>
                <w:bCs/>
                <w:szCs w:val="20"/>
              </w:rPr>
              <w:t>technolog</w:t>
            </w:r>
            <w:proofErr w:type="spellEnd"/>
            <w:r>
              <w:rPr>
                <w:rFonts w:eastAsia="Times New Roman" w:cs="Times New Roman"/>
                <w:bCs/>
                <w:szCs w:val="20"/>
              </w:rPr>
              <w:t>*" or "option*")) OR</w:t>
            </w:r>
          </w:p>
          <w:p w14:paraId="14E11E54"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 (("renewable*" OR "solar" OR "wind" OR "hydro" OR "biomass" OR "nuclear" OR "geotherm*" OR "solar thermal" OR "batter*" or "storage" OR "recycling" OR "hydrogen" OR "H2" OR "methanol" OR "ammonia" OR "methanol to olefins" OR " power to liquid" OR " power to gas" OR "CCS" OR "CCU" OR "DAC*" OR "BECCS" OR "biochar" OR "e-fuel*" OR "</w:t>
            </w:r>
            <w:proofErr w:type="spellStart"/>
            <w:r>
              <w:rPr>
                <w:rFonts w:eastAsia="Times New Roman" w:cs="Times New Roman"/>
                <w:bCs/>
                <w:szCs w:val="20"/>
              </w:rPr>
              <w:t>electrofuel</w:t>
            </w:r>
            <w:proofErr w:type="spellEnd"/>
            <w:r>
              <w:rPr>
                <w:rFonts w:eastAsia="Times New Roman" w:cs="Times New Roman"/>
                <w:bCs/>
                <w:szCs w:val="20"/>
              </w:rPr>
              <w:t>*" OR "biofuel*" OR "bioenergy" OR "biodiesel" OR "ethanol*" OR "biomethane" OR "syn fuel*" OR "synthetic fuel*" OR "electric arc furnace" OR "</w:t>
            </w:r>
            <w:proofErr w:type="spellStart"/>
            <w:r>
              <w:rPr>
                <w:rFonts w:eastAsia="Times New Roman" w:cs="Times New Roman"/>
                <w:bCs/>
                <w:szCs w:val="20"/>
              </w:rPr>
              <w:t>eaf</w:t>
            </w:r>
            <w:proofErr w:type="spellEnd"/>
            <w:r>
              <w:rPr>
                <w:rFonts w:eastAsia="Times New Roman" w:cs="Times New Roman"/>
                <w:bCs/>
                <w:szCs w:val="20"/>
              </w:rPr>
              <w:t xml:space="preserve">" OR "heat pump*" OR "electrode boiler*" OR "electric vehicle*" OR "EV" OR "fuel cell*")) </w:t>
            </w:r>
          </w:p>
          <w:p w14:paraId="1B5531A4"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 W/5 ("deployment" OR "rollout" OR "scaling*" OR "scale up" OR "</w:t>
            </w:r>
            <w:proofErr w:type="spellStart"/>
            <w:r>
              <w:rPr>
                <w:rFonts w:eastAsia="Times New Roman" w:cs="Times New Roman"/>
                <w:bCs/>
                <w:szCs w:val="20"/>
              </w:rPr>
              <w:t>scalab</w:t>
            </w:r>
            <w:proofErr w:type="spellEnd"/>
            <w:r>
              <w:rPr>
                <w:rFonts w:eastAsia="Times New Roman" w:cs="Times New Roman"/>
                <w:bCs/>
                <w:szCs w:val="20"/>
              </w:rPr>
              <w:t>*" OR "usage" OR "expansion" OR (("best" OR "good" OR "success*" OR “effective” OR “efficient</w:t>
            </w:r>
            <w:proofErr w:type="gramStart"/>
            <w:r>
              <w:rPr>
                <w:rFonts w:eastAsia="Times New Roman" w:cs="Times New Roman"/>
                <w:bCs/>
                <w:szCs w:val="20"/>
              </w:rPr>
              <w:t>”)  W</w:t>
            </w:r>
            <w:proofErr w:type="gramEnd"/>
            <w:r>
              <w:rPr>
                <w:rFonts w:eastAsia="Times New Roman" w:cs="Times New Roman"/>
                <w:bCs/>
                <w:szCs w:val="20"/>
              </w:rPr>
              <w:t>/5 ("</w:t>
            </w:r>
            <w:proofErr w:type="spellStart"/>
            <w:r>
              <w:rPr>
                <w:rFonts w:eastAsia="Times New Roman" w:cs="Times New Roman"/>
                <w:bCs/>
                <w:szCs w:val="20"/>
              </w:rPr>
              <w:t>polic</w:t>
            </w:r>
            <w:proofErr w:type="spellEnd"/>
            <w:r>
              <w:rPr>
                <w:rFonts w:eastAsia="Times New Roman" w:cs="Times New Roman"/>
                <w:bCs/>
                <w:szCs w:val="20"/>
              </w:rPr>
              <w:t>*" OR “regulation ”)) OR ((“best practice”)  W/10 ("</w:t>
            </w:r>
            <w:proofErr w:type="spellStart"/>
            <w:r>
              <w:rPr>
                <w:rFonts w:eastAsia="Times New Roman" w:cs="Times New Roman"/>
                <w:bCs/>
                <w:szCs w:val="20"/>
              </w:rPr>
              <w:t>polic</w:t>
            </w:r>
            <w:proofErr w:type="spellEnd"/>
            <w:r>
              <w:rPr>
                <w:rFonts w:eastAsia="Times New Roman" w:cs="Times New Roman"/>
                <w:bCs/>
                <w:szCs w:val="20"/>
              </w:rPr>
              <w:t>*" OR “regulation ”))</w:t>
            </w:r>
          </w:p>
          <w:p w14:paraId="2E5E321A" w14:textId="77777777" w:rsidR="000055AD" w:rsidRDefault="004B772A">
            <w:pPr>
              <w:spacing w:line="240" w:lineRule="auto"/>
              <w:jc w:val="left"/>
              <w:rPr>
                <w:rFonts w:eastAsia="Times New Roman" w:cs="Times New Roman"/>
                <w:bCs/>
                <w:szCs w:val="20"/>
              </w:rPr>
            </w:pPr>
            <w:r>
              <w:rPr>
                <w:rFonts w:eastAsia="Times New Roman" w:cs="Times New Roman"/>
                <w:bCs/>
                <w:szCs w:val="20"/>
              </w:rPr>
              <w:t>)) OR (("district heat*" OR "grid*" OR "heat* network*</w:t>
            </w:r>
            <w:proofErr w:type="gramStart"/>
            <w:r>
              <w:rPr>
                <w:rFonts w:eastAsia="Times New Roman" w:cs="Times New Roman"/>
                <w:bCs/>
                <w:szCs w:val="20"/>
              </w:rPr>
              <w:t>")  W</w:t>
            </w:r>
            <w:proofErr w:type="gramEnd"/>
            <w:r>
              <w:rPr>
                <w:rFonts w:eastAsia="Times New Roman" w:cs="Times New Roman"/>
                <w:bCs/>
                <w:szCs w:val="20"/>
              </w:rPr>
              <w:t>/5 ("</w:t>
            </w:r>
            <w:proofErr w:type="spellStart"/>
            <w:r>
              <w:rPr>
                <w:rFonts w:eastAsia="Times New Roman" w:cs="Times New Roman"/>
                <w:bCs/>
                <w:szCs w:val="20"/>
              </w:rPr>
              <w:t>expan</w:t>
            </w:r>
            <w:proofErr w:type="spellEnd"/>
            <w:r>
              <w:rPr>
                <w:rFonts w:eastAsia="Times New Roman" w:cs="Times New Roman"/>
                <w:bCs/>
                <w:szCs w:val="20"/>
              </w:rPr>
              <w:t>*" OR "</w:t>
            </w:r>
            <w:proofErr w:type="spellStart"/>
            <w:r>
              <w:rPr>
                <w:rFonts w:eastAsia="Times New Roman" w:cs="Times New Roman"/>
                <w:bCs/>
                <w:szCs w:val="20"/>
              </w:rPr>
              <w:t>exten</w:t>
            </w:r>
            <w:proofErr w:type="spellEnd"/>
            <w:r>
              <w:rPr>
                <w:rFonts w:eastAsia="Times New Roman" w:cs="Times New Roman"/>
                <w:bCs/>
                <w:szCs w:val="20"/>
              </w:rPr>
              <w:t>*" OR (("best" OR "good" OR "success*" OR “effective” OR “efficient”)  W/5 ("</w:t>
            </w:r>
            <w:proofErr w:type="spellStart"/>
            <w:r>
              <w:rPr>
                <w:rFonts w:eastAsia="Times New Roman" w:cs="Times New Roman"/>
                <w:bCs/>
                <w:szCs w:val="20"/>
              </w:rPr>
              <w:t>polic</w:t>
            </w:r>
            <w:proofErr w:type="spellEnd"/>
            <w:r>
              <w:rPr>
                <w:rFonts w:eastAsia="Times New Roman" w:cs="Times New Roman"/>
                <w:bCs/>
                <w:szCs w:val="20"/>
              </w:rPr>
              <w:t>*" OR “regulation ”)) OR ((“best practice”)  W/10 ("</w:t>
            </w:r>
            <w:proofErr w:type="spellStart"/>
            <w:r>
              <w:rPr>
                <w:rFonts w:eastAsia="Times New Roman" w:cs="Times New Roman"/>
                <w:bCs/>
                <w:szCs w:val="20"/>
              </w:rPr>
              <w:t>polic</w:t>
            </w:r>
            <w:proofErr w:type="spellEnd"/>
            <w:r>
              <w:rPr>
                <w:rFonts w:eastAsia="Times New Roman" w:cs="Times New Roman"/>
                <w:bCs/>
                <w:szCs w:val="20"/>
              </w:rPr>
              <w:t>*" OR “regulation ”))</w:t>
            </w:r>
          </w:p>
          <w:p w14:paraId="6EB4DAE5"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 </w:t>
            </w:r>
          </w:p>
          <w:p w14:paraId="2B3E8006" w14:textId="77777777" w:rsidR="000055AD" w:rsidRDefault="004B772A">
            <w:pPr>
              <w:spacing w:line="240" w:lineRule="auto"/>
              <w:jc w:val="left"/>
              <w:rPr>
                <w:rFonts w:eastAsia="Times New Roman" w:cs="Times New Roman"/>
                <w:bCs/>
                <w:szCs w:val="20"/>
              </w:rPr>
            </w:pPr>
            <w:r>
              <w:rPr>
                <w:rFonts w:eastAsia="Times New Roman" w:cs="Times New Roman"/>
                <w:bCs/>
                <w:szCs w:val="20"/>
              </w:rPr>
              <w:t xml:space="preserve">OR ("energetic refurbishment*" OR "energetic renovation*" OR "energetic rehabilitation*" OR "energy rehabilitation*" OR "energy renovation*") </w:t>
            </w:r>
          </w:p>
          <w:p w14:paraId="17C23156" w14:textId="77777777" w:rsidR="000055AD" w:rsidRDefault="004B772A">
            <w:pPr>
              <w:spacing w:line="240" w:lineRule="auto"/>
              <w:jc w:val="left"/>
              <w:rPr>
                <w:rFonts w:eastAsia="Times New Roman" w:cs="Times New Roman"/>
                <w:bCs/>
                <w:szCs w:val="20"/>
              </w:rPr>
            </w:pPr>
            <w:r>
              <w:rPr>
                <w:rFonts w:eastAsia="Times New Roman" w:cs="Times New Roman"/>
                <w:bCs/>
                <w:szCs w:val="20"/>
              </w:rPr>
              <w:t>OR (("fossil*" OR "coal" OR "oil" or "gas</w:t>
            </w:r>
            <w:proofErr w:type="gramStart"/>
            <w:r>
              <w:rPr>
                <w:rFonts w:eastAsia="Times New Roman" w:cs="Times New Roman"/>
                <w:bCs/>
                <w:szCs w:val="20"/>
              </w:rPr>
              <w:t>")  W</w:t>
            </w:r>
            <w:proofErr w:type="gramEnd"/>
            <w:r>
              <w:rPr>
                <w:rFonts w:eastAsia="Times New Roman" w:cs="Times New Roman"/>
                <w:bCs/>
                <w:szCs w:val="20"/>
              </w:rPr>
              <w:t>/5 ("phase* out*" OR "phase* down*" OR (("best" OR "good" OR "success*" OR “effective” OR “efficient”)  W/5 ("</w:t>
            </w:r>
            <w:proofErr w:type="spellStart"/>
            <w:r>
              <w:rPr>
                <w:rFonts w:eastAsia="Times New Roman" w:cs="Times New Roman"/>
                <w:bCs/>
                <w:szCs w:val="20"/>
              </w:rPr>
              <w:t>polic</w:t>
            </w:r>
            <w:proofErr w:type="spellEnd"/>
            <w:r>
              <w:rPr>
                <w:rFonts w:eastAsia="Times New Roman" w:cs="Times New Roman"/>
                <w:bCs/>
                <w:szCs w:val="20"/>
              </w:rPr>
              <w:t>*" OR “regulation ”)) OR ((“best practice”)  W/10 ("</w:t>
            </w:r>
            <w:proofErr w:type="spellStart"/>
            <w:r>
              <w:rPr>
                <w:rFonts w:eastAsia="Times New Roman" w:cs="Times New Roman"/>
                <w:bCs/>
                <w:szCs w:val="20"/>
              </w:rPr>
              <w:t>polic</w:t>
            </w:r>
            <w:proofErr w:type="spellEnd"/>
            <w:r>
              <w:rPr>
                <w:rFonts w:eastAsia="Times New Roman" w:cs="Times New Roman"/>
                <w:bCs/>
                <w:szCs w:val="20"/>
              </w:rPr>
              <w:t>*" OR “regulation ”))</w:t>
            </w:r>
          </w:p>
          <w:p w14:paraId="0FEB6AD7" w14:textId="77777777" w:rsidR="000055AD" w:rsidRDefault="004B772A">
            <w:pPr>
              <w:spacing w:line="240" w:lineRule="auto"/>
              <w:jc w:val="left"/>
              <w:rPr>
                <w:rFonts w:eastAsia="Times New Roman" w:cs="Times New Roman"/>
                <w:bCs/>
                <w:szCs w:val="20"/>
              </w:rPr>
            </w:pPr>
            <w:r>
              <w:rPr>
                <w:rFonts w:eastAsia="Times New Roman" w:cs="Times New Roman"/>
                <w:bCs/>
                <w:szCs w:val="20"/>
              </w:rPr>
              <w:t>)</w:t>
            </w:r>
            <w:proofErr w:type="gramStart"/>
            <w:r>
              <w:rPr>
                <w:rFonts w:eastAsia="Times New Roman" w:cs="Times New Roman"/>
                <w:bCs/>
                <w:szCs w:val="20"/>
              </w:rPr>
              <w:t>))AND</w:t>
            </w:r>
            <w:proofErr w:type="gramEnd"/>
            <w:r>
              <w:rPr>
                <w:rFonts w:eastAsia="Times New Roman" w:cs="Times New Roman"/>
                <w:bCs/>
                <w:szCs w:val="20"/>
              </w:rPr>
              <w:t xml:space="preserve"> NOT (“water” OR “</w:t>
            </w:r>
            <w:r>
              <w:rPr>
                <w:rFonts w:ascii="Cambria Math" w:eastAsia="Times New Roman" w:hAnsi="Cambria Math" w:cs="Cambria Math"/>
                <w:bCs/>
                <w:szCs w:val="20"/>
              </w:rPr>
              <w:t>∗</w:t>
            </w:r>
            <w:r>
              <w:rPr>
                <w:rFonts w:eastAsia="Times New Roman" w:cs="Times New Roman"/>
                <w:bCs/>
                <w:szCs w:val="20"/>
              </w:rPr>
              <w:t>forest</w:t>
            </w:r>
            <w:r>
              <w:rPr>
                <w:rFonts w:ascii="Cambria Math" w:eastAsia="Times New Roman" w:hAnsi="Cambria Math" w:cs="Cambria Math"/>
                <w:bCs/>
                <w:szCs w:val="20"/>
              </w:rPr>
              <w:t>∗</w:t>
            </w:r>
            <w:r>
              <w:rPr>
                <w:rFonts w:eastAsia="Times New Roman" w:cs="Times New Roman"/>
                <w:bCs/>
                <w:szCs w:val="20"/>
              </w:rPr>
              <w:t>” OR “farm*” OR “food*” OR “</w:t>
            </w:r>
            <w:proofErr w:type="spellStart"/>
            <w:r>
              <w:rPr>
                <w:rFonts w:eastAsia="Times New Roman" w:cs="Times New Roman"/>
                <w:bCs/>
                <w:szCs w:val="20"/>
              </w:rPr>
              <w:t>agric</w:t>
            </w:r>
            <w:proofErr w:type="spellEnd"/>
            <w:r>
              <w:rPr>
                <w:rFonts w:ascii="Cambria Math" w:eastAsia="Times New Roman" w:hAnsi="Cambria Math" w:cs="Cambria Math"/>
                <w:bCs/>
                <w:szCs w:val="20"/>
              </w:rPr>
              <w:t>∗</w:t>
            </w:r>
            <w:r>
              <w:rPr>
                <w:rFonts w:eastAsia="Times New Roman" w:cs="Times New Roman"/>
                <w:bCs/>
                <w:szCs w:val="20"/>
              </w:rPr>
              <w:t>” OR “</w:t>
            </w:r>
            <w:proofErr w:type="spellStart"/>
            <w:r>
              <w:rPr>
                <w:rFonts w:eastAsia="Times New Roman" w:cs="Times New Roman"/>
                <w:bCs/>
                <w:szCs w:val="20"/>
              </w:rPr>
              <w:t>agro</w:t>
            </w:r>
            <w:proofErr w:type="spellEnd"/>
            <w:r>
              <w:rPr>
                <w:rFonts w:ascii="Cambria Math" w:eastAsia="Times New Roman" w:hAnsi="Cambria Math" w:cs="Cambria Math"/>
                <w:bCs/>
                <w:szCs w:val="20"/>
              </w:rPr>
              <w:t>∗</w:t>
            </w:r>
            <w:r>
              <w:rPr>
                <w:rFonts w:eastAsia="Times New Roman" w:cs="Times New Roman"/>
                <w:bCs/>
                <w:szCs w:val="20"/>
              </w:rPr>
              <w:t>” OR “land* use” OR “LULUCF” OR “AFOLU”))</w:t>
            </w:r>
          </w:p>
        </w:tc>
        <w:tc>
          <w:tcPr>
            <w:tcW w:w="1116" w:type="dxa"/>
          </w:tcPr>
          <w:p w14:paraId="556E6F3B" w14:textId="77777777" w:rsidR="000055AD" w:rsidRDefault="004B772A">
            <w:pPr>
              <w:spacing w:line="240" w:lineRule="auto"/>
              <w:jc w:val="left"/>
              <w:rPr>
                <w:rFonts w:eastAsia="Times New Roman" w:cs="Times New Roman"/>
                <w:bCs/>
                <w:szCs w:val="20"/>
              </w:rPr>
            </w:pPr>
            <w:r>
              <w:rPr>
                <w:rFonts w:eastAsia="Times New Roman" w:cs="Times New Roman"/>
                <w:bCs/>
                <w:szCs w:val="20"/>
              </w:rPr>
              <w:lastRenderedPageBreak/>
              <w:t>16.08.2023</w:t>
            </w:r>
          </w:p>
        </w:tc>
        <w:tc>
          <w:tcPr>
            <w:tcW w:w="956" w:type="dxa"/>
          </w:tcPr>
          <w:p w14:paraId="08ADFBF6" w14:textId="77777777" w:rsidR="000055AD" w:rsidRDefault="004B772A">
            <w:pPr>
              <w:spacing w:line="240" w:lineRule="auto"/>
              <w:jc w:val="left"/>
              <w:rPr>
                <w:rFonts w:eastAsia="Times New Roman" w:cs="Times New Roman"/>
                <w:bCs/>
                <w:szCs w:val="20"/>
              </w:rPr>
            </w:pPr>
            <w:r>
              <w:rPr>
                <w:rFonts w:eastAsia="Times New Roman" w:cs="Times New Roman"/>
                <w:bCs/>
                <w:szCs w:val="20"/>
              </w:rPr>
              <w:t>10426</w:t>
            </w:r>
          </w:p>
        </w:tc>
      </w:tr>
      <w:tr w:rsidR="000055AD" w14:paraId="7AD64F31" w14:textId="77777777">
        <w:tc>
          <w:tcPr>
            <w:tcW w:w="7324" w:type="dxa"/>
          </w:tcPr>
          <w:p w14:paraId="5D4FABF8" w14:textId="77777777" w:rsidR="000055AD" w:rsidRDefault="004B772A">
            <w:pPr>
              <w:rPr>
                <w:rFonts w:eastAsia="Times New Roman" w:cs="Times New Roman"/>
                <w:bCs/>
                <w:szCs w:val="20"/>
              </w:rPr>
            </w:pPr>
            <w:r>
              <w:rPr>
                <w:rFonts w:eastAsia="Times New Roman" w:cs="Times New Roman"/>
                <w:bCs/>
                <w:szCs w:val="20"/>
              </w:rPr>
              <w:t>SCOPUS additional filter: Articles, reviews, English</w:t>
            </w:r>
          </w:p>
        </w:tc>
        <w:tc>
          <w:tcPr>
            <w:tcW w:w="1116" w:type="dxa"/>
          </w:tcPr>
          <w:p w14:paraId="54853A76" w14:textId="77777777" w:rsidR="000055AD" w:rsidRDefault="004B772A">
            <w:pPr>
              <w:rPr>
                <w:rFonts w:eastAsia="Times New Roman" w:cs="Times New Roman"/>
                <w:bCs/>
                <w:szCs w:val="20"/>
              </w:rPr>
            </w:pPr>
            <w:r>
              <w:rPr>
                <w:rFonts w:eastAsia="Times New Roman" w:cs="Times New Roman"/>
                <w:bCs/>
                <w:szCs w:val="20"/>
              </w:rPr>
              <w:t>16.08.2023</w:t>
            </w:r>
          </w:p>
        </w:tc>
        <w:tc>
          <w:tcPr>
            <w:tcW w:w="956" w:type="dxa"/>
          </w:tcPr>
          <w:p w14:paraId="162093E4" w14:textId="77777777" w:rsidR="000055AD" w:rsidRDefault="004B772A">
            <w:pPr>
              <w:rPr>
                <w:rFonts w:eastAsia="Times New Roman" w:cs="Times New Roman"/>
                <w:bCs/>
                <w:szCs w:val="20"/>
              </w:rPr>
            </w:pPr>
            <w:r>
              <w:rPr>
                <w:rFonts w:eastAsia="Times New Roman" w:cs="Times New Roman"/>
                <w:bCs/>
                <w:szCs w:val="20"/>
              </w:rPr>
              <w:t>7505</w:t>
            </w:r>
          </w:p>
        </w:tc>
      </w:tr>
    </w:tbl>
    <w:p w14:paraId="0AA901F1" w14:textId="77777777" w:rsidR="000055AD" w:rsidRDefault="000055AD">
      <w:pPr>
        <w:spacing w:line="240" w:lineRule="auto"/>
        <w:rPr>
          <w:rFonts w:eastAsia="Times New Roman" w:cs="Times New Roman"/>
          <w:bCs/>
          <w:szCs w:val="20"/>
        </w:rPr>
      </w:pPr>
    </w:p>
    <w:p w14:paraId="10BC26D6" w14:textId="77777777" w:rsidR="000055AD" w:rsidRDefault="000055AD">
      <w:pPr>
        <w:spacing w:line="240" w:lineRule="auto"/>
        <w:rPr>
          <w:rFonts w:eastAsia="Times New Roman" w:cs="Times New Roman"/>
          <w:b/>
          <w:bCs/>
          <w:sz w:val="24"/>
          <w:szCs w:val="24"/>
        </w:rPr>
      </w:pPr>
    </w:p>
    <w:p w14:paraId="1D2AA0A2" w14:textId="77777777" w:rsidR="000055AD" w:rsidRDefault="000055AD">
      <w:pPr>
        <w:spacing w:line="240" w:lineRule="auto"/>
        <w:rPr>
          <w:rFonts w:eastAsia="Times New Roman" w:cs="Times New Roman"/>
          <w:b/>
          <w:bCs/>
          <w:sz w:val="24"/>
          <w:szCs w:val="24"/>
        </w:rPr>
      </w:pPr>
    </w:p>
    <w:p w14:paraId="076125DF" w14:textId="77777777" w:rsidR="000055AD" w:rsidRDefault="000055AD">
      <w:pPr>
        <w:spacing w:line="240" w:lineRule="auto"/>
        <w:rPr>
          <w:rFonts w:eastAsia="Times New Roman" w:cs="Times New Roman"/>
          <w:b/>
          <w:bCs/>
          <w:sz w:val="24"/>
          <w:szCs w:val="24"/>
        </w:rPr>
      </w:pPr>
    </w:p>
    <w:p w14:paraId="34F68646" w14:textId="77777777" w:rsidR="000055AD" w:rsidRDefault="000055AD">
      <w:pPr>
        <w:spacing w:line="240" w:lineRule="auto"/>
        <w:rPr>
          <w:rFonts w:eastAsia="Times New Roman" w:cs="Times New Roman"/>
          <w:b/>
          <w:bCs/>
          <w:sz w:val="24"/>
          <w:szCs w:val="24"/>
        </w:rPr>
      </w:pPr>
    </w:p>
    <w:p w14:paraId="7089EFFD" w14:textId="77777777" w:rsidR="000055AD" w:rsidRDefault="000055AD">
      <w:pPr>
        <w:spacing w:line="240" w:lineRule="auto"/>
        <w:rPr>
          <w:rFonts w:eastAsia="Times New Roman" w:cs="Times New Roman"/>
          <w:b/>
          <w:bCs/>
          <w:sz w:val="24"/>
          <w:szCs w:val="24"/>
        </w:rPr>
      </w:pPr>
    </w:p>
    <w:p w14:paraId="76C89E77" w14:textId="77777777" w:rsidR="000055AD" w:rsidRDefault="004B772A">
      <w:pPr>
        <w:rPr>
          <w:rFonts w:eastAsia="Times New Roman" w:cs="Times New Roman"/>
          <w:sz w:val="32"/>
          <w:szCs w:val="32"/>
        </w:rPr>
      </w:pPr>
      <w:r>
        <w:rPr>
          <w:rFonts w:eastAsia="Times New Roman" w:cs="Times New Roman"/>
        </w:rPr>
        <w:br w:type="page" w:clear="all"/>
      </w:r>
    </w:p>
    <w:p w14:paraId="09742841" w14:textId="77777777" w:rsidR="000055AD" w:rsidRDefault="004B772A">
      <w:pPr>
        <w:pStyle w:val="Heading1"/>
        <w:rPr>
          <w:rFonts w:ascii="Times New Roman" w:eastAsia="Times New Roman" w:hAnsi="Times New Roman" w:cs="Times New Roman"/>
        </w:rPr>
      </w:pPr>
      <w:bookmarkStart w:id="4" w:name="_Toc226028142"/>
      <w:r>
        <w:rPr>
          <w:rFonts w:ascii="Times New Roman" w:eastAsia="Times New Roman" w:hAnsi="Times New Roman" w:cs="Times New Roman"/>
        </w:rPr>
        <w:lastRenderedPageBreak/>
        <w:t>Online Appendix B: Article screening</w:t>
      </w:r>
      <w:bookmarkEnd w:id="4"/>
    </w:p>
    <w:p w14:paraId="4839042E" w14:textId="77777777" w:rsidR="000055AD" w:rsidRDefault="000055AD">
      <w:pPr>
        <w:rPr>
          <w:rFonts w:cs="Times New Roman"/>
        </w:rPr>
      </w:pPr>
    </w:p>
    <w:p w14:paraId="4E6225E3" w14:textId="77777777" w:rsidR="000055AD" w:rsidRDefault="004B772A">
      <w:pPr>
        <w:pStyle w:val="Heading2"/>
        <w:rPr>
          <w:rFonts w:ascii="Times New Roman" w:hAnsi="Times New Roman" w:cs="Times New Roman"/>
        </w:rPr>
      </w:pPr>
      <w:bookmarkStart w:id="5" w:name="_Ref171453772"/>
      <w:bookmarkStart w:id="6" w:name="_Toc226028143"/>
      <w:r>
        <w:rPr>
          <w:rFonts w:ascii="Times New Roman" w:hAnsi="Times New Roman" w:cs="Times New Roman"/>
        </w:rPr>
        <w:t xml:space="preserve">Figure OB </w:t>
      </w:r>
      <w:r>
        <w:rPr>
          <w:rFonts w:ascii="Times New Roman" w:hAnsi="Times New Roman" w:cs="Times New Roman"/>
        </w:rPr>
        <w:fldChar w:fldCharType="begin"/>
      </w:r>
      <w:r>
        <w:rPr>
          <w:rFonts w:ascii="Times New Roman" w:hAnsi="Times New Roman" w:cs="Times New Roman"/>
        </w:rPr>
        <w:instrText xml:space="preserve"> SEQ Figure_OB \* ARABIC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bookmarkEnd w:id="5"/>
      <w:r>
        <w:rPr>
          <w:rFonts w:ascii="Times New Roman" w:hAnsi="Times New Roman" w:cs="Times New Roman"/>
        </w:rPr>
        <w:t xml:space="preserve"> Quasi- sampling</w:t>
      </w:r>
      <w:bookmarkEnd w:id="6"/>
    </w:p>
    <w:p w14:paraId="265452C1" w14:textId="77777777" w:rsidR="000055AD" w:rsidRDefault="004B772A">
      <w:pPr>
        <w:rPr>
          <w:rFonts w:cs="Times New Roman"/>
        </w:rPr>
      </w:pPr>
      <w:r>
        <w:rPr>
          <w:rFonts w:eastAsia="Times New Roman" w:cs="Times New Roman"/>
          <w:noProof/>
        </w:rPr>
        <mc:AlternateContent>
          <mc:Choice Requires="wpg">
            <w:drawing>
              <wp:anchor distT="0" distB="0" distL="114300" distR="114300" simplePos="0" relativeHeight="251658240" behindDoc="0" locked="0" layoutInCell="1" allowOverlap="1" wp14:anchorId="05AC67E7" wp14:editId="421AAF22">
                <wp:simplePos x="0" y="0"/>
                <wp:positionH relativeFrom="margin">
                  <wp:align>left</wp:align>
                </wp:positionH>
                <wp:positionV relativeFrom="paragraph">
                  <wp:posOffset>1339316</wp:posOffset>
                </wp:positionV>
                <wp:extent cx="4325112" cy="2679192"/>
                <wp:effectExtent l="0" t="0" r="0" b="698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YguFOY1Uo1hFGgpx.png"/>
                        <pic:cNvPicPr>
                          <a:picLocks noChangeAspect="1"/>
                        </pic:cNvPicPr>
                      </pic:nvPicPr>
                      <pic:blipFill>
                        <a:blip r:embed="rId14"/>
                        <a:stretch/>
                      </pic:blipFill>
                      <pic:spPr bwMode="auto">
                        <a:xfrm>
                          <a:off x="0" y="0"/>
                          <a:ext cx="4325112" cy="2679192"/>
                        </a:xfrm>
                        <a:prstGeom prst="rect">
                          <a:avLst/>
                        </a:prstGeom>
                      </pic:spPr>
                    </pic:pic>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position:absolute;z-index:251658240;o:allowoverlap:true;o:allowincell:true;mso-position-horizontal-relative:margin;mso-position-horizontal:left;mso-position-vertical-relative:text;margin-top:105.46pt;mso-position-vertical:absolute;width:340.56pt;height:210.96pt;mso-wrap-distance-left:9.00pt;mso-wrap-distance-top:0.00pt;mso-wrap-distance-right:9.00pt;mso-wrap-distance-bottom:0.00pt;z-index:1;" stroked="false">
                <w10:wrap type="square"/>
                <v:imagedata r:id="rId17" o:title=""/>
                <o:lock v:ext="edit" rotation="t"/>
              </v:shape>
            </w:pict>
          </mc:Fallback>
        </mc:AlternateContent>
      </w:r>
      <w:r>
        <w:rPr>
          <w:rFonts w:cs="Times New Roman"/>
        </w:rPr>
        <w:t xml:space="preserve">Note. </w:t>
      </w:r>
      <w:r>
        <w:rPr>
          <w:rFonts w:cs="Times New Roman"/>
        </w:rPr>
        <w:fldChar w:fldCharType="begin"/>
      </w:r>
      <w:r>
        <w:rPr>
          <w:rFonts w:cs="Times New Roman"/>
        </w:rPr>
        <w:instrText xml:space="preserve"> REF _Ref171453772 \h  \* MERGEFORMAT </w:instrText>
      </w:r>
      <w:r>
        <w:rPr>
          <w:rFonts w:cs="Times New Roman"/>
        </w:rPr>
      </w:r>
      <w:r>
        <w:rPr>
          <w:rFonts w:cs="Times New Roman"/>
        </w:rPr>
        <w:fldChar w:fldCharType="separate"/>
      </w:r>
      <w:r>
        <w:rPr>
          <w:rFonts w:cs="Times New Roman"/>
        </w:rPr>
        <w:t>Figure OB 1</w:t>
      </w:r>
      <w:r>
        <w:rPr>
          <w:rFonts w:cs="Times New Roman"/>
        </w:rPr>
        <w:fldChar w:fldCharType="end"/>
      </w:r>
      <w:r>
        <w:rPr>
          <w:rFonts w:cs="Times New Roman"/>
        </w:rPr>
        <w:t xml:space="preserve"> plots the evaluation of the quasi-sampling developed by Callaghan and Müller-Hansen </w:t>
      </w:r>
      <w:r>
        <w:rPr>
          <w:rFonts w:cs="Times New Roman"/>
        </w:rPr>
        <w:fldChar w:fldCharType="begin"/>
      </w:r>
      <w:r>
        <w:rPr>
          <w:rFonts w:cs="Times New Roman"/>
        </w:rPr>
        <w:instrText xml:space="preserve"> ADDIN ZOTERO_ITEM CSL_CITATION {"citationID":"dSmnSIGG","properties":{"formattedCitation":"(2020)","plainCitation":"(2020)","noteIndex":0},"citationItems":[{"id":35344,"uris":["http://zotero.org/groups/52011/items/BKZVPIKB"],"itemData":{"id":35344,"type":"article-journal","abstract":"Active learning for systematic review screening promises to reduce the human effort required to identify relevant documents for a systematic review. Machines and humans work together, with humans providing training data, and the machine optimising the documents that the humans screen. This enables the identification of all relevant documents after viewing only a fraction of the total documents. However, current approaches lack robust stopping criteria, so that reviewers do not know when they have seen all or a certain proportion of relevant documents. This means that such systems are hard to implement in live reviews. This paper introduces a workflow with flexible statistical stopping criteria, which offer real work reductions on the basis of rejecting a hypothesis of having missed a given recall target with a given level of confidence. The stopping criteria are shown on test datasets to achieve a reliable level of recall, while still providing work reductions of on average 17%. Other methods proposed previously are shown to provide inconsistent recall and work reductions across datasets.","container-title":"Systematic Reviews","DOI":"10.1186/s13643-020-01521-4","ISSN":"2046-4053","issue":"1","journalAbbreviation":"Syst Rev","language":"en","page":"273","source":"DOI.org (Crossref)","title":"Statistical stopping criteria for automated screening in systematic reviews","volume":"9","author":[{"family":"Callaghan","given":"Max W"},{"family":"Müller-Hansen","given":"Finn"}],"issued":{"date-parts":[["2020",12]]}},"suppress-author":true}],"schema":"https://github.com/citation-style-language/schema/raw/master/csl-citation.json"} </w:instrText>
      </w:r>
      <w:r>
        <w:rPr>
          <w:rFonts w:cs="Times New Roman"/>
        </w:rPr>
        <w:fldChar w:fldCharType="separate"/>
      </w:r>
      <w:r>
        <w:rPr>
          <w:rFonts w:cs="Times New Roman"/>
        </w:rPr>
        <w:t>(2020)</w:t>
      </w:r>
      <w:r>
        <w:rPr>
          <w:rFonts w:cs="Times New Roman"/>
        </w:rPr>
        <w:fldChar w:fldCharType="end"/>
      </w:r>
      <w:r>
        <w:rPr>
          <w:rFonts w:cs="Times New Roman"/>
        </w:rPr>
        <w:t>. Overall, the sample consists of 7,997 unique documents of which 2,924 are manually screened and 5,073 are automatically excluded. Therefore, the screening algorithm saved almost two third of work compared to a purely manual screening process. The open source calculator Biased Urns for efficient Stopping Criteria in technology-Assisted Reviews can be used to validate the results (https://mcallaghan.github.io/buscar-app/).</w:t>
      </w:r>
    </w:p>
    <w:p w14:paraId="0BF76F10" w14:textId="77777777" w:rsidR="000055AD" w:rsidRDefault="004B772A">
      <w:pPr>
        <w:rPr>
          <w:rFonts w:cs="Times New Roman"/>
          <w:sz w:val="28"/>
        </w:rPr>
      </w:pPr>
      <w:r>
        <w:rPr>
          <w:rFonts w:cs="Times New Roman"/>
          <w:sz w:val="28"/>
        </w:rPr>
        <w:t>a)</w:t>
      </w:r>
    </w:p>
    <w:p w14:paraId="2E6C6E17" w14:textId="77777777" w:rsidR="000055AD" w:rsidRDefault="000055AD">
      <w:pPr>
        <w:rPr>
          <w:rFonts w:eastAsia="Times New Roman" w:cs="Times New Roman"/>
        </w:rPr>
      </w:pPr>
    </w:p>
    <w:p w14:paraId="10C82174" w14:textId="77777777" w:rsidR="000055AD" w:rsidRDefault="000055AD">
      <w:pPr>
        <w:rPr>
          <w:rFonts w:eastAsia="Times New Roman" w:cs="Times New Roman"/>
        </w:rPr>
      </w:pPr>
    </w:p>
    <w:p w14:paraId="68B82259" w14:textId="77777777" w:rsidR="000055AD" w:rsidRDefault="000055AD">
      <w:pPr>
        <w:rPr>
          <w:rFonts w:eastAsia="Times New Roman" w:cs="Times New Roman"/>
        </w:rPr>
      </w:pPr>
    </w:p>
    <w:p w14:paraId="7B0AADE9" w14:textId="77777777" w:rsidR="000055AD" w:rsidRDefault="000055AD">
      <w:pPr>
        <w:rPr>
          <w:rFonts w:eastAsia="Times New Roman" w:cs="Times New Roman"/>
        </w:rPr>
      </w:pPr>
    </w:p>
    <w:p w14:paraId="63BEADF7" w14:textId="77777777" w:rsidR="000055AD" w:rsidRDefault="000055AD">
      <w:pPr>
        <w:rPr>
          <w:rFonts w:eastAsia="Times New Roman" w:cs="Times New Roman"/>
        </w:rPr>
      </w:pPr>
    </w:p>
    <w:p w14:paraId="2524D358" w14:textId="77777777" w:rsidR="000055AD" w:rsidRDefault="000055AD">
      <w:pPr>
        <w:rPr>
          <w:rFonts w:eastAsia="Times New Roman" w:cs="Times New Roman"/>
        </w:rPr>
      </w:pPr>
    </w:p>
    <w:p w14:paraId="10CC9F0E" w14:textId="77777777" w:rsidR="000055AD" w:rsidRDefault="000055AD">
      <w:pPr>
        <w:rPr>
          <w:rFonts w:eastAsia="Times New Roman" w:cs="Times New Roman"/>
        </w:rPr>
      </w:pPr>
    </w:p>
    <w:p w14:paraId="14FE8586" w14:textId="77777777" w:rsidR="000055AD" w:rsidRDefault="000055AD">
      <w:pPr>
        <w:rPr>
          <w:rFonts w:eastAsia="Times New Roman" w:cs="Times New Roman"/>
        </w:rPr>
      </w:pPr>
    </w:p>
    <w:p w14:paraId="03552A51" w14:textId="77777777" w:rsidR="000055AD" w:rsidRDefault="000055AD">
      <w:pPr>
        <w:rPr>
          <w:rFonts w:eastAsia="Times New Roman" w:cs="Times New Roman"/>
        </w:rPr>
      </w:pPr>
    </w:p>
    <w:p w14:paraId="75452796" w14:textId="77777777" w:rsidR="000055AD" w:rsidRDefault="000055AD">
      <w:pPr>
        <w:rPr>
          <w:rFonts w:eastAsia="Times New Roman" w:cs="Times New Roman"/>
        </w:rPr>
      </w:pPr>
    </w:p>
    <w:p w14:paraId="790C8E3E" w14:textId="77777777" w:rsidR="000055AD" w:rsidRDefault="000055AD">
      <w:pPr>
        <w:rPr>
          <w:rFonts w:eastAsia="Times New Roman" w:cs="Times New Roman"/>
        </w:rPr>
      </w:pPr>
    </w:p>
    <w:p w14:paraId="71B9CEE4" w14:textId="77777777" w:rsidR="000055AD" w:rsidRDefault="000055AD">
      <w:pPr>
        <w:rPr>
          <w:rFonts w:eastAsia="Times New Roman" w:cs="Times New Roman"/>
        </w:rPr>
      </w:pPr>
    </w:p>
    <w:p w14:paraId="0042F01A" w14:textId="77777777" w:rsidR="000055AD" w:rsidRDefault="004B772A">
      <w:pPr>
        <w:rPr>
          <w:rFonts w:eastAsia="Times New Roman" w:cs="Times New Roman"/>
        </w:rPr>
      </w:pPr>
      <w:r>
        <w:rPr>
          <w:rFonts w:eastAsia="Times New Roman" w:cs="Times New Roman"/>
          <w:noProof/>
        </w:rPr>
        <mc:AlternateContent>
          <mc:Choice Requires="wpg">
            <w:drawing>
              <wp:anchor distT="0" distB="0" distL="114300" distR="114300" simplePos="0" relativeHeight="251659264" behindDoc="0" locked="0" layoutInCell="1" allowOverlap="1" wp14:anchorId="14BD7742" wp14:editId="4394D287">
                <wp:simplePos x="0" y="0"/>
                <wp:positionH relativeFrom="margin">
                  <wp:posOffset>359867</wp:posOffset>
                </wp:positionH>
                <wp:positionV relativeFrom="paragraph">
                  <wp:posOffset>162205</wp:posOffset>
                </wp:positionV>
                <wp:extent cx="4356100" cy="3025140"/>
                <wp:effectExtent l="0" t="0" r="6350" b="3810"/>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y2oG8Nw9j8JMoeTk.png"/>
                        <pic:cNvPicPr>
                          <a:picLocks noChangeAspect="1"/>
                        </pic:cNvPicPr>
                      </pic:nvPicPr>
                      <pic:blipFill>
                        <a:blip r:embed="rId18"/>
                        <a:stretch/>
                      </pic:blipFill>
                      <pic:spPr bwMode="auto">
                        <a:xfrm>
                          <a:off x="0" y="0"/>
                          <a:ext cx="4356100" cy="3025140"/>
                        </a:xfrm>
                        <a:prstGeom prst="rect">
                          <a:avLst/>
                        </a:prstGeom>
                      </pic:spPr>
                    </pic:pic>
                  </a:graphicData>
                </a:graphic>
              </wp:anchor>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 o:spid="_x0000_s1" type="#_x0000_t75" style="position:absolute;z-index:251659264;o:allowoverlap:true;o:allowincell:true;mso-position-horizontal-relative:margin;margin-left:28.34pt;mso-position-horizontal:absolute;mso-position-vertical-relative:text;margin-top:12.77pt;mso-position-vertical:absolute;width:343.00pt;height:238.20pt;mso-wrap-distance-left:9.00pt;mso-wrap-distance-top:0.00pt;mso-wrap-distance-right:9.00pt;mso-wrap-distance-bottom:0.00pt;z-index:1;" stroked="false">
                <w10:wrap type="square"/>
                <v:imagedata r:id="rId19" o:title=""/>
                <o:lock v:ext="edit" rotation="t"/>
              </v:shape>
            </w:pict>
          </mc:Fallback>
        </mc:AlternateContent>
      </w:r>
    </w:p>
    <w:p w14:paraId="2301BEE2" w14:textId="77777777" w:rsidR="000055AD" w:rsidRDefault="004B772A">
      <w:pPr>
        <w:rPr>
          <w:rFonts w:cs="Times New Roman"/>
          <w:sz w:val="28"/>
        </w:rPr>
      </w:pPr>
      <w:r>
        <w:rPr>
          <w:rFonts w:cs="Times New Roman"/>
          <w:sz w:val="28"/>
        </w:rPr>
        <w:t>b)</w:t>
      </w:r>
    </w:p>
    <w:p w14:paraId="1504A8BE" w14:textId="77777777" w:rsidR="000055AD" w:rsidRDefault="000055AD">
      <w:pPr>
        <w:rPr>
          <w:rFonts w:eastAsia="Times New Roman" w:cs="Times New Roman"/>
          <w:szCs w:val="20"/>
        </w:rPr>
      </w:pPr>
    </w:p>
    <w:p w14:paraId="6ECA2B35" w14:textId="77777777" w:rsidR="000055AD" w:rsidRDefault="000055AD">
      <w:pPr>
        <w:rPr>
          <w:rFonts w:eastAsia="Times New Roman" w:cs="Times New Roman"/>
          <w:szCs w:val="20"/>
        </w:rPr>
      </w:pPr>
    </w:p>
    <w:p w14:paraId="5CE87435" w14:textId="77777777" w:rsidR="000055AD" w:rsidRDefault="000055AD">
      <w:pPr>
        <w:rPr>
          <w:rFonts w:eastAsia="Times New Roman" w:cs="Times New Roman"/>
          <w:szCs w:val="20"/>
        </w:rPr>
      </w:pPr>
    </w:p>
    <w:p w14:paraId="5CBEFB14" w14:textId="77777777" w:rsidR="000055AD" w:rsidRDefault="000055AD">
      <w:pPr>
        <w:rPr>
          <w:rFonts w:eastAsia="Times New Roman" w:cs="Times New Roman"/>
          <w:szCs w:val="20"/>
        </w:rPr>
      </w:pPr>
    </w:p>
    <w:p w14:paraId="25B328B3" w14:textId="77777777" w:rsidR="000055AD" w:rsidRDefault="000055AD">
      <w:pPr>
        <w:rPr>
          <w:rFonts w:eastAsia="Times New Roman" w:cs="Times New Roman"/>
          <w:szCs w:val="20"/>
        </w:rPr>
      </w:pPr>
    </w:p>
    <w:p w14:paraId="652D2D39" w14:textId="77777777" w:rsidR="000055AD" w:rsidRDefault="000055AD">
      <w:pPr>
        <w:rPr>
          <w:rFonts w:eastAsia="Times New Roman" w:cs="Times New Roman"/>
          <w:szCs w:val="20"/>
        </w:rPr>
      </w:pPr>
    </w:p>
    <w:p w14:paraId="112CC784" w14:textId="77777777" w:rsidR="000055AD" w:rsidRDefault="000055AD">
      <w:pPr>
        <w:rPr>
          <w:rFonts w:eastAsia="Times New Roman" w:cs="Times New Roman"/>
          <w:szCs w:val="20"/>
        </w:rPr>
      </w:pPr>
    </w:p>
    <w:p w14:paraId="7DEEC454" w14:textId="77777777" w:rsidR="000055AD" w:rsidRDefault="000055AD">
      <w:pPr>
        <w:rPr>
          <w:rFonts w:eastAsia="Times New Roman" w:cs="Times New Roman"/>
          <w:szCs w:val="20"/>
        </w:rPr>
      </w:pPr>
    </w:p>
    <w:p w14:paraId="4BEEBF41" w14:textId="77777777" w:rsidR="000055AD" w:rsidRDefault="000055AD">
      <w:pPr>
        <w:rPr>
          <w:rFonts w:eastAsia="Times New Roman" w:cs="Times New Roman"/>
          <w:szCs w:val="20"/>
        </w:rPr>
      </w:pPr>
    </w:p>
    <w:p w14:paraId="212BFA74" w14:textId="77777777" w:rsidR="000055AD" w:rsidRDefault="000055AD">
      <w:pPr>
        <w:rPr>
          <w:rFonts w:eastAsia="Times New Roman" w:cs="Times New Roman"/>
          <w:szCs w:val="20"/>
        </w:rPr>
      </w:pPr>
    </w:p>
    <w:p w14:paraId="2F3405D0" w14:textId="77777777" w:rsidR="000055AD" w:rsidRDefault="000055AD">
      <w:pPr>
        <w:rPr>
          <w:rFonts w:eastAsia="Times New Roman" w:cs="Times New Roman"/>
          <w:szCs w:val="20"/>
        </w:rPr>
      </w:pPr>
    </w:p>
    <w:p w14:paraId="79CFD5F3" w14:textId="77777777" w:rsidR="000055AD" w:rsidRDefault="000055AD">
      <w:pPr>
        <w:rPr>
          <w:rFonts w:eastAsia="Times New Roman" w:cs="Times New Roman"/>
          <w:szCs w:val="20"/>
        </w:rPr>
      </w:pPr>
    </w:p>
    <w:p w14:paraId="354FBFDE" w14:textId="77777777" w:rsidR="000055AD" w:rsidRDefault="004B772A">
      <w:pPr>
        <w:spacing w:after="160" w:line="259" w:lineRule="auto"/>
        <w:jc w:val="left"/>
        <w:rPr>
          <w:rFonts w:eastAsiaTheme="majorEastAsia" w:cs="Times New Roman"/>
          <w:sz w:val="26"/>
          <w:szCs w:val="26"/>
        </w:rPr>
      </w:pPr>
      <w:r>
        <w:rPr>
          <w:rFonts w:cs="Times New Roman"/>
        </w:rPr>
        <w:br w:type="page" w:clear="all"/>
      </w:r>
    </w:p>
    <w:p w14:paraId="4F807366" w14:textId="77777777" w:rsidR="000055AD" w:rsidRDefault="004B772A">
      <w:pPr>
        <w:pStyle w:val="Heading2"/>
        <w:rPr>
          <w:rFonts w:ascii="Times New Roman" w:hAnsi="Times New Roman" w:cs="Times New Roman"/>
        </w:rPr>
      </w:pPr>
      <w:bookmarkStart w:id="7" w:name="_Ref194487857"/>
      <w:bookmarkStart w:id="8" w:name="_Toc226028144"/>
      <w:r>
        <w:rPr>
          <w:rFonts w:ascii="Times New Roman" w:hAnsi="Times New Roman" w:cs="Times New Roman"/>
        </w:rPr>
        <w:lastRenderedPageBreak/>
        <w:t xml:space="preserve">Table OB </w:t>
      </w:r>
      <w:r>
        <w:rPr>
          <w:rFonts w:ascii="Times New Roman" w:hAnsi="Times New Roman" w:cs="Times New Roman"/>
        </w:rPr>
        <w:fldChar w:fldCharType="begin"/>
      </w:r>
      <w:r>
        <w:rPr>
          <w:rFonts w:ascii="Times New Roman" w:hAnsi="Times New Roman" w:cs="Times New Roman"/>
        </w:rPr>
        <w:instrText xml:space="preserve"> SEQ Table_OB \* ARABIC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bookmarkEnd w:id="7"/>
      <w:r>
        <w:rPr>
          <w:rFonts w:ascii="Times New Roman" w:hAnsi="Times New Roman" w:cs="Times New Roman"/>
        </w:rPr>
        <w:t xml:space="preserve"> Overview of selected articles</w:t>
      </w:r>
      <w:bookmarkEnd w:id="8"/>
    </w:p>
    <w:p w14:paraId="0DD80266" w14:textId="77777777" w:rsidR="000055AD" w:rsidRDefault="000055AD">
      <w:pPr>
        <w:rPr>
          <w:rFonts w:cs="Times New Roman"/>
        </w:rPr>
      </w:pPr>
    </w:p>
    <w:tbl>
      <w:tblPr>
        <w:tblStyle w:val="PlainTable5"/>
        <w:tblW w:w="0" w:type="auto"/>
        <w:tblLook w:val="04A0" w:firstRow="1" w:lastRow="0" w:firstColumn="1" w:lastColumn="0" w:noHBand="0" w:noVBand="1"/>
      </w:tblPr>
      <w:tblGrid>
        <w:gridCol w:w="1881"/>
        <w:gridCol w:w="711"/>
        <w:gridCol w:w="1883"/>
        <w:gridCol w:w="1121"/>
        <w:gridCol w:w="2479"/>
        <w:gridCol w:w="1331"/>
      </w:tblGrid>
      <w:tr w:rsidR="000055AD" w14:paraId="21ABF9FE" w14:textId="77777777" w:rsidTr="000055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2E0BD93" w14:textId="77777777" w:rsidR="000055AD" w:rsidRDefault="004B772A">
            <w:pPr>
              <w:jc w:val="left"/>
              <w:rPr>
                <w:rFonts w:cs="Times New Roman"/>
                <w:b/>
                <w:szCs w:val="20"/>
              </w:rPr>
            </w:pPr>
            <w:r>
              <w:rPr>
                <w:rFonts w:cs="Times New Roman"/>
                <w:b/>
                <w:szCs w:val="20"/>
              </w:rPr>
              <w:t>Reference</w:t>
            </w:r>
          </w:p>
        </w:tc>
        <w:tc>
          <w:tcPr>
            <w:tcW w:w="0" w:type="auto"/>
          </w:tcPr>
          <w:sdt>
            <w:sdtPr>
              <w:rPr>
                <w:rFonts w:cs="Times New Roman"/>
                <w:szCs w:val="20"/>
              </w:rPr>
              <w:tag w:val="goog_rdk_11"/>
              <w:id w:val="15151073"/>
            </w:sdtPr>
            <w:sdtContent>
              <w:p w14:paraId="72D584EB" w14:textId="77777777" w:rsidR="000055AD" w:rsidRDefault="00000000">
                <w:pPr>
                  <w:jc w:val="left"/>
                  <w:cnfStyle w:val="100000000000" w:firstRow="1"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8"/>
                    <w:id w:val="1435205768"/>
                  </w:sdtPr>
                  <w:sdtContent>
                    <w:sdt>
                      <w:sdtPr>
                        <w:rPr>
                          <w:rFonts w:cs="Times New Roman"/>
                          <w:szCs w:val="20"/>
                        </w:rPr>
                        <w:tag w:val="goog_rdk_9"/>
                        <w:id w:val="252627342"/>
                      </w:sdtPr>
                      <w:sdtContent>
                        <w:r w:rsidR="004B772A">
                          <w:rPr>
                            <w:rFonts w:cs="Times New Roman"/>
                            <w:b/>
                            <w:bCs/>
                            <w:iCs/>
                            <w:szCs w:val="20"/>
                          </w:rPr>
                          <w:t>No.</w:t>
                        </w:r>
                      </w:sdtContent>
                    </w:sdt>
                    <w:sdt>
                      <w:sdtPr>
                        <w:rPr>
                          <w:rFonts w:cs="Times New Roman"/>
                          <w:szCs w:val="20"/>
                        </w:rPr>
                        <w:tag w:val="goog_rdk_10"/>
                        <w:id w:val="-409875190"/>
                        <w:showingPlcHdr/>
                      </w:sdtPr>
                      <w:sdtContent>
                        <w:r w:rsidR="004B772A">
                          <w:t>    </w:t>
                        </w:r>
                      </w:sdtContent>
                    </w:sdt>
                  </w:sdtContent>
                </w:sdt>
              </w:p>
            </w:sdtContent>
          </w:sdt>
        </w:tc>
        <w:tc>
          <w:tcPr>
            <w:tcW w:w="0" w:type="auto"/>
          </w:tcPr>
          <w:sdt>
            <w:sdtPr>
              <w:rPr>
                <w:rFonts w:cs="Times New Roman"/>
                <w:szCs w:val="20"/>
              </w:rPr>
              <w:tag w:val="goog_rdk_15"/>
              <w:id w:val="1006765734"/>
            </w:sdtPr>
            <w:sdtContent>
              <w:p w14:paraId="04592762" w14:textId="77777777" w:rsidR="000055AD" w:rsidRDefault="00000000">
                <w:pPr>
                  <w:jc w:val="left"/>
                  <w:cnfStyle w:val="100000000000" w:firstRow="1" w:lastRow="0" w:firstColumn="0" w:lastColumn="0" w:oddVBand="0" w:evenVBand="0" w:oddHBand="0" w:evenHBand="0" w:firstRowFirstColumn="0" w:firstRowLastColumn="0" w:lastRowFirstColumn="0" w:lastRowLastColumn="0"/>
                  <w:rPr>
                    <w:rFonts w:cs="Times New Roman"/>
                    <w:b/>
                    <w:szCs w:val="20"/>
                  </w:rPr>
                </w:pPr>
                <w:sdt>
                  <w:sdtPr>
                    <w:rPr>
                      <w:rFonts w:cs="Times New Roman"/>
                      <w:szCs w:val="20"/>
                    </w:rPr>
                    <w:tag w:val="goog_rdk_12"/>
                    <w:id w:val="-900449267"/>
                  </w:sdtPr>
                  <w:sdtContent>
                    <w:r w:rsidR="004B772A">
                      <w:rPr>
                        <w:rFonts w:cs="Times New Roman"/>
                        <w:b/>
                        <w:szCs w:val="20"/>
                      </w:rPr>
                      <w:t>Regional group</w:t>
                    </w:r>
                  </w:sdtContent>
                </w:sdt>
              </w:p>
            </w:sdtContent>
          </w:sdt>
        </w:tc>
        <w:tc>
          <w:tcPr>
            <w:tcW w:w="0" w:type="auto"/>
          </w:tcPr>
          <w:p w14:paraId="6B487F64" w14:textId="77777777" w:rsidR="000055AD" w:rsidRDefault="004B772A">
            <w:pPr>
              <w:jc w:val="left"/>
              <w:cnfStyle w:val="100000000000" w:firstRow="1" w:lastRow="0" w:firstColumn="0" w:lastColumn="0" w:oddVBand="0" w:evenVBand="0" w:oddHBand="0" w:evenHBand="0" w:firstRowFirstColumn="0" w:firstRowLastColumn="0" w:lastRowFirstColumn="0" w:lastRowLastColumn="0"/>
              <w:rPr>
                <w:rFonts w:cs="Times New Roman"/>
                <w:b/>
                <w:szCs w:val="20"/>
              </w:rPr>
            </w:pPr>
            <w:r>
              <w:rPr>
                <w:rFonts w:cs="Times New Roman"/>
                <w:b/>
                <w:szCs w:val="20"/>
              </w:rPr>
              <w:t>Method</w:t>
            </w:r>
          </w:p>
        </w:tc>
        <w:tc>
          <w:tcPr>
            <w:tcW w:w="0" w:type="auto"/>
          </w:tcPr>
          <w:p w14:paraId="574C0049" w14:textId="77777777" w:rsidR="000055AD" w:rsidRDefault="004B772A">
            <w:pPr>
              <w:jc w:val="left"/>
              <w:cnfStyle w:val="100000000000" w:firstRow="1" w:lastRow="0" w:firstColumn="0" w:lastColumn="0" w:oddVBand="0" w:evenVBand="0" w:oddHBand="0" w:evenHBand="0" w:firstRowFirstColumn="0" w:firstRowLastColumn="0" w:lastRowFirstColumn="0" w:lastRowLastColumn="0"/>
              <w:rPr>
                <w:rFonts w:cs="Times New Roman"/>
                <w:b/>
                <w:szCs w:val="20"/>
              </w:rPr>
            </w:pPr>
            <w:r>
              <w:rPr>
                <w:rFonts w:cs="Times New Roman"/>
                <w:b/>
                <w:szCs w:val="20"/>
              </w:rPr>
              <w:t>Policy region</w:t>
            </w:r>
          </w:p>
        </w:tc>
        <w:tc>
          <w:tcPr>
            <w:tcW w:w="0" w:type="auto"/>
          </w:tcPr>
          <w:p w14:paraId="19B3CC29" w14:textId="77777777" w:rsidR="000055AD" w:rsidRDefault="004B772A">
            <w:pPr>
              <w:jc w:val="left"/>
              <w:cnfStyle w:val="100000000000" w:firstRow="1" w:lastRow="0" w:firstColumn="0" w:lastColumn="0" w:oddVBand="0" w:evenVBand="0" w:oddHBand="0" w:evenHBand="0" w:firstRowFirstColumn="0" w:firstRowLastColumn="0" w:lastRowFirstColumn="0" w:lastRowLastColumn="0"/>
              <w:rPr>
                <w:rFonts w:cs="Times New Roman"/>
                <w:b/>
                <w:szCs w:val="20"/>
              </w:rPr>
            </w:pPr>
            <w:r>
              <w:rPr>
                <w:rFonts w:cs="Times New Roman"/>
                <w:b/>
                <w:szCs w:val="20"/>
              </w:rPr>
              <w:t>Technology</w:t>
            </w:r>
          </w:p>
        </w:tc>
      </w:tr>
      <w:tr w:rsidR="000055AD" w14:paraId="118C336F"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DA2487C"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{"citationID":"Qlox4WfV","properties":{"formattedCitation":"(Amankwah-Amoah and Sarpong 2016)","plainCitation":"(Amankwah-Amoah and Sarpong 2016)","noteIndex":0},"citationItems":[{"id":40138,"uris":["http://zotero.org/groups/52011/items/6BW9S6YD"],"itemData":{"id":40138,"type":"article-journal","abstract":"Although scaling up of renewable technologies is essential in creating opportunities for sustainable economic development to flourish, our understanding of the historical trajectory of government policies in facilitating this process remains limited. In this paper, we attempt to address this deficit in our understanding by focusing on developing economies. We examine the Ghanaian government's policies from 1980-2010 towards scaling up solar photovoltaic technology. Our analysis led to the identification of four distinct phases as the industry evolved and scaling-up activities intensified. During the embryonic phase, much of the development was driven largely by non-governmental organisations. However, as the industry conditions changed, government involvement increased and policies became less ambiguous. During the last two phases, more private-public partnerships emerged to respond to incentives such as tax relief and subsidies offered by the government. We enrich our understanding of the process of evolution by integrating the literature on capacity building and scaling-up theories. © 2015 Elsevier Inc.","container-title":"Technological Forecasting and Social Change","DOI":"10.1016/j.techfore.2015.02.017","page":"90-101","title":"Historical pathways to a green economy: The evolution and scaling-up of solar PV in Ghana, 1980-2010","volume":"102","author":[{"family":"Amankwah-Amoah","given":"J."},{"family":"Sarpong","given":"D."}],"issued":{"date-parts":[["2016"]]}}}],"schema":"https://github.com/citation-style-language/schema/raw/master/csl-citation.json"} </w:instrText>
            </w:r>
            <w:r>
              <w:rPr>
                <w:rFonts w:cs="Times New Roman"/>
                <w:szCs w:val="20"/>
              </w:rPr>
              <w:fldChar w:fldCharType="separate"/>
            </w:r>
            <w:r>
              <w:rPr>
                <w:rFonts w:cs="Times New Roman"/>
                <w:szCs w:val="20"/>
              </w:rPr>
              <w:t>(Amankwah-Amoah and Sarpong 2016)</w:t>
            </w:r>
            <w:r>
              <w:rPr>
                <w:rFonts w:cs="Times New Roman"/>
                <w:szCs w:val="20"/>
              </w:rPr>
              <w:fldChar w:fldCharType="end"/>
            </w:r>
          </w:p>
        </w:tc>
        <w:tc>
          <w:tcPr>
            <w:tcW w:w="0" w:type="auto"/>
          </w:tcPr>
          <w:sdt>
            <w:sdtPr>
              <w:rPr>
                <w:rFonts w:cs="Times New Roman"/>
                <w:szCs w:val="20"/>
              </w:rPr>
              <w:tag w:val="goog_rdk_35"/>
              <w:id w:val="244315338"/>
            </w:sdtPr>
            <w:sdtContent>
              <w:p w14:paraId="35C39444"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32"/>
                    <w:id w:val="2099958282"/>
                  </w:sdtPr>
                  <w:sdtContent>
                    <w:sdt>
                      <w:sdtPr>
                        <w:rPr>
                          <w:rFonts w:cs="Times New Roman"/>
                          <w:szCs w:val="20"/>
                        </w:rPr>
                        <w:tag w:val="goog_rdk_33"/>
                        <w:id w:val="748182004"/>
                      </w:sdtPr>
                      <w:sdtContent>
                        <w:r w:rsidR="004B772A">
                          <w:rPr>
                            <w:rFonts w:eastAsia="Calibri" w:cs="Times New Roman"/>
                            <w:szCs w:val="20"/>
                          </w:rPr>
                          <w:t>1</w:t>
                        </w:r>
                      </w:sdtContent>
                    </w:sdt>
                    <w:sdt>
                      <w:sdtPr>
                        <w:rPr>
                          <w:rFonts w:cs="Times New Roman"/>
                          <w:szCs w:val="20"/>
                        </w:rPr>
                        <w:tag w:val="goog_rdk_34"/>
                        <w:id w:val="740835744"/>
                        <w:showingPlcHdr/>
                      </w:sdtPr>
                      <w:sdtContent>
                        <w:r w:rsidR="004B772A">
                          <w:t>    </w:t>
                        </w:r>
                      </w:sdtContent>
                    </w:sdt>
                  </w:sdtContent>
                </w:sdt>
              </w:p>
            </w:sdtContent>
          </w:sdt>
        </w:tc>
        <w:tc>
          <w:tcPr>
            <w:tcW w:w="0" w:type="auto"/>
          </w:tcPr>
          <w:sdt>
            <w:sdtPr>
              <w:rPr>
                <w:rFonts w:cs="Times New Roman"/>
                <w:szCs w:val="20"/>
              </w:rPr>
              <w:tag w:val="goog_rdk_39"/>
              <w:id w:val="1679225516"/>
            </w:sdtPr>
            <w:sdtContent>
              <w:p w14:paraId="2B1BB8AA"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36"/>
                    <w:id w:val="683827821"/>
                  </w:sdtPr>
                  <w:sdtContent>
                    <w:sdt>
                      <w:sdtPr>
                        <w:rPr>
                          <w:rFonts w:cs="Times New Roman"/>
                          <w:szCs w:val="20"/>
                        </w:rPr>
                        <w:tag w:val="goog_rdk_37"/>
                        <w:id w:val="-2048492869"/>
                      </w:sdtPr>
                      <w:sdtContent>
                        <w:r w:rsidR="004B772A">
                          <w:rPr>
                            <w:rFonts w:eastAsia="Calibri" w:cs="Times New Roman"/>
                            <w:szCs w:val="20"/>
                          </w:rPr>
                          <w:t>Adaptive Pragmatists</w:t>
                        </w:r>
                      </w:sdtContent>
                    </w:sdt>
                    <w:sdt>
                      <w:sdtPr>
                        <w:rPr>
                          <w:rFonts w:cs="Times New Roman"/>
                          <w:szCs w:val="20"/>
                        </w:rPr>
                        <w:tag w:val="goog_rdk_38"/>
                        <w:id w:val="-927696020"/>
                        <w:showingPlcHdr/>
                      </w:sdtPr>
                      <w:sdtContent>
                        <w:r w:rsidR="004B772A">
                          <w:t>    </w:t>
                        </w:r>
                      </w:sdtContent>
                    </w:sdt>
                  </w:sdtContent>
                </w:sdt>
              </w:p>
            </w:sdtContent>
          </w:sdt>
        </w:tc>
        <w:tc>
          <w:tcPr>
            <w:tcW w:w="0" w:type="auto"/>
          </w:tcPr>
          <w:p w14:paraId="618821EE"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3E8A8EF0"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Ghana</w:t>
            </w:r>
          </w:p>
        </w:tc>
        <w:tc>
          <w:tcPr>
            <w:tcW w:w="0" w:type="auto"/>
          </w:tcPr>
          <w:p w14:paraId="649A611B"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w:t>
            </w:r>
          </w:p>
        </w:tc>
      </w:tr>
      <w:tr w:rsidR="000055AD" w14:paraId="1FD78DCD"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4A9DEF02"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{"citationID":"f2nHQZTO","properties":{"formattedCitation":"(Ameli, Pisu, and Kammen 2017)","plainCitation":"(Ameli, Pisu, and Kammen 2017)","noteIndex":0},"citationItems":[{"id":40148,"uris":["http://zotero.org/groups/52011/items/XT5WMMWP"],"itemData":{"id":40148,"type":"article-journal","abstract":"Growing global awareness of climate change has ushered in a new era demanding policy, financial and behavioural innovations to accelerate the transition to a clean energy economy. Dramatic price decreases in solar photovoltaics (PV) and public policy have underwritten the expansion of solar power, now accounting for the largest share of renewable energy in California and rising fast in other countries, such as Germany and Italy. Governments' efforts to expand solar generation base and integrate it into municipal, regional, and national energy systems, have spawned several programs that require rigorous policy evaluations to assess their effectiveness, costs and contribution to Paris Agreement's goals. In this study, we exploit a natural experiment in northern California to test the capacity of Property Assessed Clean Energy (PACE) to promote PV investment. PACE has been highly cost effective by more than doubling residential PV installations. © 2017 Elsevier Ltd","container-title":"Applied Energy","DOI":"10.1016/j.apenergy.2017.01.037","page":"163-169","title":"Can the US keep the PACE? A natural experiment in accelerating the growth of solar electricity","volume":"191","author":[{"family":"Ameli","given":"N."},{"family":"Pisu","given":"M."},{"family":"Kammen","given":"D. M."}],"issued":{"date-parts":[["2017"]]}}}],"schema":"https://github.com/citation-style-language/schema/raw/master/csl-citation.json"} </w:instrText>
            </w:r>
            <w:r>
              <w:rPr>
                <w:rFonts w:cs="Times New Roman"/>
                <w:szCs w:val="20"/>
              </w:rPr>
              <w:fldChar w:fldCharType="separate"/>
            </w:r>
            <w:r>
              <w:rPr>
                <w:rFonts w:cs="Times New Roman"/>
                <w:szCs w:val="20"/>
              </w:rPr>
              <w:t>(Ameli, Pisu, and Kammen 2017)</w:t>
            </w:r>
            <w:r>
              <w:rPr>
                <w:rFonts w:cs="Times New Roman"/>
                <w:szCs w:val="20"/>
              </w:rPr>
              <w:fldChar w:fldCharType="end"/>
            </w:r>
          </w:p>
        </w:tc>
        <w:tc>
          <w:tcPr>
            <w:tcW w:w="0" w:type="auto"/>
          </w:tcPr>
          <w:sdt>
            <w:sdtPr>
              <w:rPr>
                <w:rFonts w:cs="Times New Roman"/>
                <w:szCs w:val="20"/>
              </w:rPr>
              <w:tag w:val="goog_rdk_59"/>
              <w:id w:val="-397426890"/>
            </w:sdtPr>
            <w:sdtContent>
              <w:p w14:paraId="27E6F6B8"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56"/>
                    <w:id w:val="131692399"/>
                  </w:sdtPr>
                  <w:sdtContent>
                    <w:sdt>
                      <w:sdtPr>
                        <w:rPr>
                          <w:rFonts w:cs="Times New Roman"/>
                          <w:szCs w:val="20"/>
                        </w:rPr>
                        <w:tag w:val="goog_rdk_57"/>
                        <w:id w:val="1905840307"/>
                      </w:sdtPr>
                      <w:sdtContent>
                        <w:r w:rsidR="004B772A">
                          <w:rPr>
                            <w:rFonts w:eastAsia="Calibri" w:cs="Times New Roman"/>
                            <w:szCs w:val="20"/>
                          </w:rPr>
                          <w:t>2</w:t>
                        </w:r>
                      </w:sdtContent>
                    </w:sdt>
                    <w:sdt>
                      <w:sdtPr>
                        <w:rPr>
                          <w:rFonts w:cs="Times New Roman"/>
                          <w:szCs w:val="20"/>
                        </w:rPr>
                        <w:tag w:val="goog_rdk_58"/>
                        <w:id w:val="-1669918466"/>
                        <w:showingPlcHdr/>
                      </w:sdtPr>
                      <w:sdtContent>
                        <w:r w:rsidR="004B772A">
                          <w:t>    </w:t>
                        </w:r>
                      </w:sdtContent>
                    </w:sdt>
                  </w:sdtContent>
                </w:sdt>
              </w:p>
            </w:sdtContent>
          </w:sdt>
        </w:tc>
        <w:tc>
          <w:tcPr>
            <w:tcW w:w="0" w:type="auto"/>
          </w:tcPr>
          <w:sdt>
            <w:sdtPr>
              <w:rPr>
                <w:rFonts w:cs="Times New Roman"/>
                <w:szCs w:val="20"/>
              </w:rPr>
              <w:tag w:val="goog_rdk_63"/>
              <w:id w:val="1237880875"/>
            </w:sdtPr>
            <w:sdtContent>
              <w:p w14:paraId="6293C643"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60"/>
                    <w:id w:val="-108629062"/>
                  </w:sdtPr>
                  <w:sdtContent>
                    <w:sdt>
                      <w:sdtPr>
                        <w:rPr>
                          <w:rFonts w:cs="Times New Roman"/>
                          <w:szCs w:val="20"/>
                        </w:rPr>
                        <w:tag w:val="goog_rdk_61"/>
                        <w:id w:val="-1262307594"/>
                      </w:sdtPr>
                      <w:sdtContent>
                        <w:r w:rsidR="004B772A">
                          <w:rPr>
                            <w:rFonts w:eastAsia="Calibri" w:cs="Times New Roman"/>
                            <w:szCs w:val="20"/>
                          </w:rPr>
                          <w:t>Instrumentalists</w:t>
                        </w:r>
                      </w:sdtContent>
                    </w:sdt>
                    <w:sdt>
                      <w:sdtPr>
                        <w:rPr>
                          <w:rFonts w:cs="Times New Roman"/>
                          <w:szCs w:val="20"/>
                        </w:rPr>
                        <w:tag w:val="goog_rdk_62"/>
                        <w:id w:val="-664738205"/>
                        <w:showingPlcHdr/>
                      </w:sdtPr>
                      <w:sdtContent>
                        <w:r w:rsidR="004B772A">
                          <w:t>    </w:t>
                        </w:r>
                      </w:sdtContent>
                    </w:sdt>
                  </w:sdtContent>
                </w:sdt>
              </w:p>
            </w:sdtContent>
          </w:sdt>
        </w:tc>
        <w:tc>
          <w:tcPr>
            <w:tcW w:w="0" w:type="auto"/>
          </w:tcPr>
          <w:p w14:paraId="5A29D4E0"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11D87BBB"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California</w:t>
            </w:r>
          </w:p>
        </w:tc>
        <w:tc>
          <w:tcPr>
            <w:tcW w:w="0" w:type="auto"/>
          </w:tcPr>
          <w:p w14:paraId="390F6D0E"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w:t>
            </w:r>
          </w:p>
        </w:tc>
      </w:tr>
      <w:tr w:rsidR="000055AD" w14:paraId="0C26ED3E"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B67B18A"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{"citationID":"zzXufmjl","properties":{"formattedCitation":"(Andrews-Speed 2015)","plainCitation":"(Andrews-Speed 2015)","noteIndex":0},"citationItems":[{"id":40230,"uris":["http://zotero.org/groups/52011/items/IR4B6CKI"],"itemData":{"id":40230,"type":"article-journal","abstract":"Law is an important tool for national governments to promote the transition to a low carbon energy sector. However, law is the servant of national politics and policies and is embedded in a wider institutional environment, both nationally and internationally. This comparative analysis of the United Kingdom (UK) and China shows that, although national law plays a role in supporting the transition to a low-carbon energy system, the nature of the law and the role it plays depends greatly on the wider institutional environment. The UK is a parliamentary democracy and a liberal market economy. Therefore, the laws passed by the legislature form a critical part of the framework for the low-carbon transition. In contrast, the authority of the executive in China allows the executive to govern the energy sector through decrees and regulations, and diminishes the role of law passed by the legislature. Energy law and policy in both the UK and China are formulated in the light of the prevailing energy policy paradigm: the market-oriented regulatory state paradigm in the UK and a state-centered paradigm in China. Together, these differences explain the contrasting experiences in promoting the low-carbon transition, in general, and the deployment of renewable energy in particular. © 2015 by Koninklijke Brill NV, Leiden, The Netherlands.","container-title":"Frontiers of Law in China","DOI":"10.3868/s050-004-015-0016-6","issue":"2","page":"295-315","title":"Energy law in support of the low-carbon transition: Lessons from the United Kingdom and China","volume":"10","author":[{"family":"Andrews-Speed","given":"P."}],"issued":{"date-parts":[["2015"]]}}}],"schema":"https://github.com/citation-style-language/schema/raw/master/csl-citation.json"} </w:instrText>
            </w:r>
            <w:r>
              <w:rPr>
                <w:rFonts w:cs="Times New Roman"/>
                <w:szCs w:val="20"/>
              </w:rPr>
              <w:fldChar w:fldCharType="separate"/>
            </w:r>
            <w:r>
              <w:rPr>
                <w:rFonts w:cs="Times New Roman"/>
                <w:szCs w:val="20"/>
              </w:rPr>
              <w:t>(Andrews-Speed 2015)</w:t>
            </w:r>
            <w:r>
              <w:rPr>
                <w:rFonts w:cs="Times New Roman"/>
                <w:szCs w:val="20"/>
              </w:rPr>
              <w:fldChar w:fldCharType="end"/>
            </w:r>
          </w:p>
        </w:tc>
        <w:tc>
          <w:tcPr>
            <w:tcW w:w="0" w:type="auto"/>
          </w:tcPr>
          <w:sdt>
            <w:sdtPr>
              <w:rPr>
                <w:rFonts w:cs="Times New Roman"/>
                <w:szCs w:val="20"/>
              </w:rPr>
              <w:tag w:val="goog_rdk_83"/>
              <w:id w:val="-1951649940"/>
            </w:sdtPr>
            <w:sdtContent>
              <w:p w14:paraId="4412BA39"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80"/>
                    <w:id w:val="-183374487"/>
                  </w:sdtPr>
                  <w:sdtContent>
                    <w:sdt>
                      <w:sdtPr>
                        <w:rPr>
                          <w:rFonts w:cs="Times New Roman"/>
                          <w:szCs w:val="20"/>
                        </w:rPr>
                        <w:tag w:val="goog_rdk_81"/>
                        <w:id w:val="417354825"/>
                      </w:sdtPr>
                      <w:sdtContent>
                        <w:r w:rsidR="004B772A">
                          <w:rPr>
                            <w:rFonts w:eastAsia="Calibri" w:cs="Times New Roman"/>
                            <w:szCs w:val="20"/>
                          </w:rPr>
                          <w:t>3</w:t>
                        </w:r>
                      </w:sdtContent>
                    </w:sdt>
                    <w:sdt>
                      <w:sdtPr>
                        <w:rPr>
                          <w:rFonts w:cs="Times New Roman"/>
                          <w:szCs w:val="20"/>
                        </w:rPr>
                        <w:tag w:val="goog_rdk_82"/>
                        <w:id w:val="-1102417710"/>
                        <w:showingPlcHdr/>
                      </w:sdtPr>
                      <w:sdtContent>
                        <w:r w:rsidR="004B772A">
                          <w:t>    </w:t>
                        </w:r>
                      </w:sdtContent>
                    </w:sdt>
                  </w:sdtContent>
                </w:sdt>
              </w:p>
            </w:sdtContent>
          </w:sdt>
        </w:tc>
        <w:tc>
          <w:tcPr>
            <w:tcW w:w="0" w:type="auto"/>
          </w:tcPr>
          <w:sdt>
            <w:sdtPr>
              <w:rPr>
                <w:rFonts w:cs="Times New Roman"/>
                <w:szCs w:val="20"/>
              </w:rPr>
              <w:tag w:val="goog_rdk_86"/>
              <w:id w:val="-1719779054"/>
            </w:sdtPr>
            <w:sdtContent>
              <w:p w14:paraId="1D7EF44D" w14:textId="77777777" w:rsidR="000055AD" w:rsidRDefault="00000000">
                <w:pPr>
                  <w:cnfStyle w:val="000000100000" w:firstRow="0" w:lastRow="0" w:firstColumn="0" w:lastColumn="0" w:oddVBand="0" w:evenVBand="0" w:oddHBand="1" w:evenHBand="0" w:firstRowFirstColumn="0" w:firstRowLastColumn="0" w:lastRowFirstColumn="0" w:lastRowLastColumn="0"/>
                  <w:rPr>
                    <w:rFonts w:eastAsia="Calibri" w:cs="Times New Roman"/>
                    <w:szCs w:val="20"/>
                  </w:rPr>
                </w:pPr>
                <w:sdt>
                  <w:sdtPr>
                    <w:rPr>
                      <w:rFonts w:cs="Times New Roman"/>
                      <w:szCs w:val="20"/>
                    </w:rPr>
                    <w:tag w:val="goog_rdk_84"/>
                    <w:id w:val="-184888909"/>
                  </w:sdtPr>
                  <w:sdtContent>
                    <w:sdt>
                      <w:sdtPr>
                        <w:rPr>
                          <w:rFonts w:cs="Times New Roman"/>
                          <w:szCs w:val="20"/>
                        </w:rPr>
                        <w:tag w:val="goog_rdk_85"/>
                        <w:id w:val="2001853313"/>
                      </w:sdtPr>
                      <w:sdtContent>
                        <w:r w:rsidR="004B772A">
                          <w:rPr>
                            <w:rFonts w:eastAsia="Calibri" w:cs="Times New Roman"/>
                            <w:szCs w:val="20"/>
                          </w:rPr>
                          <w:t>Planners,</w:t>
                        </w:r>
                      </w:sdtContent>
                    </w:sdt>
                  </w:sdtContent>
                </w:sdt>
              </w:p>
            </w:sdtContent>
          </w:sdt>
          <w:sdt>
            <w:sdtPr>
              <w:rPr>
                <w:rFonts w:cs="Times New Roman"/>
                <w:szCs w:val="20"/>
              </w:rPr>
              <w:tag w:val="goog_rdk_90"/>
              <w:id w:val="399294658"/>
            </w:sdtPr>
            <w:sdtContent>
              <w:p w14:paraId="2A6EEE6A"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87"/>
                    <w:id w:val="-832739360"/>
                  </w:sdtPr>
                  <w:sdtContent>
                    <w:sdt>
                      <w:sdtPr>
                        <w:rPr>
                          <w:rFonts w:cs="Times New Roman"/>
                          <w:szCs w:val="20"/>
                        </w:rPr>
                        <w:tag w:val="goog_rdk_88"/>
                        <w:id w:val="1018290177"/>
                      </w:sdtPr>
                      <w:sdtContent>
                        <w:r w:rsidR="004B772A">
                          <w:rPr>
                            <w:rFonts w:eastAsia="Calibri" w:cs="Times New Roman"/>
                            <w:szCs w:val="20"/>
                          </w:rPr>
                          <w:t>Instrumentalists</w:t>
                        </w:r>
                      </w:sdtContent>
                    </w:sdt>
                    <w:sdt>
                      <w:sdtPr>
                        <w:rPr>
                          <w:rFonts w:cs="Times New Roman"/>
                          <w:szCs w:val="20"/>
                        </w:rPr>
                        <w:tag w:val="goog_rdk_89"/>
                        <w:id w:val="-618988515"/>
                      </w:sdtPr>
                      <w:sdtContent/>
                    </w:sdt>
                  </w:sdtContent>
                </w:sdt>
              </w:p>
            </w:sdtContent>
          </w:sdt>
        </w:tc>
        <w:tc>
          <w:tcPr>
            <w:tcW w:w="0" w:type="auto"/>
          </w:tcPr>
          <w:p w14:paraId="7CBD141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7CB80640"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China, UK</w:t>
            </w:r>
          </w:p>
        </w:tc>
        <w:tc>
          <w:tcPr>
            <w:tcW w:w="0" w:type="auto"/>
          </w:tcPr>
          <w:p w14:paraId="3AD4AE1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 wind</w:t>
            </w:r>
          </w:p>
        </w:tc>
      </w:tr>
      <w:tr w:rsidR="000055AD" w14:paraId="2DE6D845"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4C680AEF"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{"citationID":"nh0zpkNS","properties":{"formattedCitation":"(Bradshaw and de Martino Jannuzzi 2019)","plainCitation":"(Bradshaw and de Martino Jannuzzi 2019)","noteIndex":0},"citationItems":[{"id":54720,"uris":["http://zotero.org/groups/52011/items/XAR5KCL7"],"itemData":{"id":54720,"type":"article-journal","abstract":"States, regions, and municipalities have a growing importance in innovating policies to promote renewable sources of energy. This article examines the contribution of three state governments in developing and deploying wind and solar energy technologies in Brazil. The Brazilian electricity sector represents an interesting case of a middle-income country that is distinguished by strong federal involvement in energy governance and a reliance on hydroelectric power, followed by natural gas and coal. Using interviews conducted with policymakers and energy professionals, we find that regional energy transitions emerge as part of a process where state-level actors frame renewable energy choices primarily in terms of economic development opportunities and improving energy security. The engagement of regional institutions and organizations with energy priorities further influences the development of renewable technologies. The main policy implication is that state governments can have a strong role in the learning and niche formation of renewable alternatives that have been given less priority at the national level. This paper concludes that future policies should investigate how to scale up state renewable energy programs and initiatives. © 2018","container-title":"Energy Policy","DOI":"10.1016/j.enpol.2018.05.025","ISSN":"03014215 (ISSN)","journalAbbreviation":"Energy Policy","language":"English","note":"publisher: Elsevier Ltd","page":"1-11 Funding details  - Columbia University","title":"Governing energy transitions and regional economic development: Evidence from three Brazilian states","volume":"126","author":[{"family":"Bradshaw","given":"A."},{"family":"Martino Jannuzzi","given":"G.","non-dropping-particle":"de"}],"issued":{"date-parts":[["2019"]]}}}],"schema":"https://github.com/citation-style-language/schema/raw/master/csl-citation.json"} </w:instrText>
            </w:r>
            <w:r>
              <w:rPr>
                <w:rFonts w:cs="Times New Roman"/>
                <w:szCs w:val="20"/>
              </w:rPr>
              <w:fldChar w:fldCharType="separate"/>
            </w:r>
            <w:r>
              <w:rPr>
                <w:rFonts w:cs="Times New Roman"/>
                <w:szCs w:val="20"/>
              </w:rPr>
              <w:t>(Bradshaw and de Martino Jannuzzi 2019)</w:t>
            </w:r>
            <w:r>
              <w:rPr>
                <w:rFonts w:cs="Times New Roman"/>
                <w:szCs w:val="20"/>
              </w:rPr>
              <w:fldChar w:fldCharType="end"/>
            </w:r>
          </w:p>
        </w:tc>
        <w:tc>
          <w:tcPr>
            <w:tcW w:w="0" w:type="auto"/>
          </w:tcPr>
          <w:sdt>
            <w:sdtPr>
              <w:rPr>
                <w:rFonts w:cs="Times New Roman"/>
                <w:szCs w:val="20"/>
              </w:rPr>
              <w:tag w:val="goog_rdk_110"/>
              <w:id w:val="880584506"/>
            </w:sdtPr>
            <w:sdtContent>
              <w:p w14:paraId="4E78617E"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07"/>
                    <w:id w:val="884791403"/>
                  </w:sdtPr>
                  <w:sdtContent>
                    <w:sdt>
                      <w:sdtPr>
                        <w:rPr>
                          <w:rFonts w:cs="Times New Roman"/>
                          <w:szCs w:val="20"/>
                        </w:rPr>
                        <w:tag w:val="goog_rdk_108"/>
                        <w:id w:val="-114927205"/>
                      </w:sdtPr>
                      <w:sdtContent>
                        <w:r w:rsidR="004B772A">
                          <w:rPr>
                            <w:rFonts w:eastAsia="Calibri" w:cs="Times New Roman"/>
                            <w:szCs w:val="20"/>
                          </w:rPr>
                          <w:t>4</w:t>
                        </w:r>
                      </w:sdtContent>
                    </w:sdt>
                    <w:sdt>
                      <w:sdtPr>
                        <w:rPr>
                          <w:rFonts w:cs="Times New Roman"/>
                          <w:szCs w:val="20"/>
                        </w:rPr>
                        <w:tag w:val="goog_rdk_109"/>
                        <w:id w:val="-1394514686"/>
                        <w:showingPlcHdr/>
                      </w:sdtPr>
                      <w:sdtContent>
                        <w:r w:rsidR="004B772A">
                          <w:t>    </w:t>
                        </w:r>
                      </w:sdtContent>
                    </w:sdt>
                  </w:sdtContent>
                </w:sdt>
              </w:p>
            </w:sdtContent>
          </w:sdt>
        </w:tc>
        <w:tc>
          <w:tcPr>
            <w:tcW w:w="0" w:type="auto"/>
          </w:tcPr>
          <w:sdt>
            <w:sdtPr>
              <w:rPr>
                <w:rFonts w:cs="Times New Roman"/>
                <w:szCs w:val="20"/>
              </w:rPr>
              <w:tag w:val="goog_rdk_114"/>
              <w:id w:val="3928902"/>
            </w:sdtPr>
            <w:sdtContent>
              <w:p w14:paraId="7B410379"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11"/>
                    <w:id w:val="-702182031"/>
                  </w:sdtPr>
                  <w:sdtContent>
                    <w:sdt>
                      <w:sdtPr>
                        <w:rPr>
                          <w:rFonts w:cs="Times New Roman"/>
                          <w:szCs w:val="20"/>
                        </w:rPr>
                        <w:tag w:val="goog_rdk_112"/>
                        <w:id w:val="-1855076015"/>
                      </w:sdtPr>
                      <w:sdtContent>
                        <w:r w:rsidR="004B772A">
                          <w:rPr>
                            <w:rFonts w:eastAsia="Calibri" w:cs="Times New Roman"/>
                            <w:szCs w:val="20"/>
                          </w:rPr>
                          <w:t>Planners</w:t>
                        </w:r>
                      </w:sdtContent>
                    </w:sdt>
                    <w:sdt>
                      <w:sdtPr>
                        <w:rPr>
                          <w:rFonts w:cs="Times New Roman"/>
                          <w:szCs w:val="20"/>
                        </w:rPr>
                        <w:tag w:val="goog_rdk_113"/>
                        <w:id w:val="1208281005"/>
                        <w:showingPlcHdr/>
                      </w:sdtPr>
                      <w:sdtContent>
                        <w:r w:rsidR="004B772A">
                          <w:t>    </w:t>
                        </w:r>
                      </w:sdtContent>
                    </w:sdt>
                  </w:sdtContent>
                </w:sdt>
              </w:p>
            </w:sdtContent>
          </w:sdt>
        </w:tc>
        <w:tc>
          <w:tcPr>
            <w:tcW w:w="0" w:type="auto"/>
          </w:tcPr>
          <w:p w14:paraId="082F3DF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1768A35E"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Brazil</w:t>
            </w:r>
          </w:p>
        </w:tc>
        <w:tc>
          <w:tcPr>
            <w:tcW w:w="0" w:type="auto"/>
          </w:tcPr>
          <w:p w14:paraId="24500BF1"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 wind</w:t>
            </w:r>
          </w:p>
        </w:tc>
      </w:tr>
      <w:tr w:rsidR="000055AD" w14:paraId="11DDD6BB"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C039FFE"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{"citationID":"tcpH8QPj","properties":{"formattedCitation":"(Brauers, Oei, and Walk 2020)","plainCitation":"(Brauers, Oei, and Walk 2020)","noteIndex":0},"citationItems":[{"id":41158,"uris":["http://zotero.org/groups/52011/items/VNBCQUGE"],"itemData":{"id":41158,"type":"article-journal","abstract":"Political decisions and trends regarding coal use for electricity generation developed differently in the UK and Germany, despite being subject to relatively similar climate protection targets and general political and economic conditions. The UK agreed on a coal phase-out by 2024. In Germany, a law schedules a coal phase-out by 2038 at the latest. This paper investigates reasons for the different developments and aims to identify main hurdles and drivers of coal phase-outs by using the Triple Embeddedness Framework. The comparative case study approach reveals that policy outcomes regarding coal consumption are deeply influenced by several actor groups, namely, coal companies, unions, environmental NGOs, and the government. The most discussed aspects of a coal phase-out in both countries are energy security concerns, whether coal is mined domestically, (regional) economic dependence, as well as the relative power of actors with vested interests in coal consumption. © 2020 The Authors","container-title":"Environmental Innovation and Societal Transitions","DOI":"10.1016/j.eist.2020.09.001","page":"238-253","title":"Comparing coal phase-out pathways: The United Kingdom's and Germany's diverging transitions","volume":"37","author":[{"family":"Brauers","given":"H."},{"family":"Oei","given":"P.-Y."},{"family":"Walk","given":"P."}],"issued":{"date-parts":[["2020"]]}}}],"schema":"https://github.com/citation-style-language/schema/raw/master/csl-citation.json"} </w:instrText>
            </w:r>
            <w:r>
              <w:rPr>
                <w:rFonts w:cs="Times New Roman"/>
                <w:szCs w:val="20"/>
              </w:rPr>
              <w:fldChar w:fldCharType="separate"/>
            </w:r>
            <w:r>
              <w:rPr>
                <w:rFonts w:cs="Times New Roman"/>
                <w:szCs w:val="20"/>
              </w:rPr>
              <w:t>(Brauers, Oei, and Walk 2020)</w:t>
            </w:r>
            <w:r>
              <w:rPr>
                <w:rFonts w:cs="Times New Roman"/>
                <w:szCs w:val="20"/>
              </w:rPr>
              <w:fldChar w:fldCharType="end"/>
            </w:r>
          </w:p>
        </w:tc>
        <w:tc>
          <w:tcPr>
            <w:tcW w:w="0" w:type="auto"/>
          </w:tcPr>
          <w:sdt>
            <w:sdtPr>
              <w:rPr>
                <w:rFonts w:cs="Times New Roman"/>
                <w:szCs w:val="20"/>
              </w:rPr>
              <w:tag w:val="goog_rdk_134"/>
              <w:id w:val="510468077"/>
            </w:sdtPr>
            <w:sdtContent>
              <w:p w14:paraId="021D8D59"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31"/>
                    <w:id w:val="1896099911"/>
                  </w:sdtPr>
                  <w:sdtContent>
                    <w:sdt>
                      <w:sdtPr>
                        <w:rPr>
                          <w:rFonts w:cs="Times New Roman"/>
                          <w:szCs w:val="20"/>
                        </w:rPr>
                        <w:tag w:val="goog_rdk_132"/>
                        <w:id w:val="-146871961"/>
                      </w:sdtPr>
                      <w:sdtContent>
                        <w:r w:rsidR="004B772A">
                          <w:rPr>
                            <w:rFonts w:eastAsia="Calibri" w:cs="Times New Roman"/>
                            <w:szCs w:val="20"/>
                          </w:rPr>
                          <w:t>5</w:t>
                        </w:r>
                      </w:sdtContent>
                    </w:sdt>
                    <w:sdt>
                      <w:sdtPr>
                        <w:rPr>
                          <w:rFonts w:cs="Times New Roman"/>
                          <w:szCs w:val="20"/>
                        </w:rPr>
                        <w:tag w:val="goog_rdk_133"/>
                        <w:id w:val="-1025363052"/>
                        <w:showingPlcHdr/>
                      </w:sdtPr>
                      <w:sdtContent>
                        <w:r w:rsidR="004B772A">
                          <w:t>    </w:t>
                        </w:r>
                      </w:sdtContent>
                    </w:sdt>
                  </w:sdtContent>
                </w:sdt>
              </w:p>
            </w:sdtContent>
          </w:sdt>
        </w:tc>
        <w:tc>
          <w:tcPr>
            <w:tcW w:w="0" w:type="auto"/>
          </w:tcPr>
          <w:sdt>
            <w:sdtPr>
              <w:rPr>
                <w:rFonts w:cs="Times New Roman"/>
                <w:szCs w:val="20"/>
              </w:rPr>
              <w:tag w:val="goog_rdk_137"/>
              <w:id w:val="-505492163"/>
            </w:sdtPr>
            <w:sdtContent>
              <w:p w14:paraId="42C43A0B" w14:textId="77777777" w:rsidR="000055AD" w:rsidRDefault="00000000">
                <w:pPr>
                  <w:cnfStyle w:val="000000100000" w:firstRow="0" w:lastRow="0" w:firstColumn="0" w:lastColumn="0" w:oddVBand="0" w:evenVBand="0" w:oddHBand="1" w:evenHBand="0" w:firstRowFirstColumn="0" w:firstRowLastColumn="0" w:lastRowFirstColumn="0" w:lastRowLastColumn="0"/>
                  <w:rPr>
                    <w:rFonts w:eastAsia="Calibri" w:cs="Times New Roman"/>
                    <w:szCs w:val="20"/>
                  </w:rPr>
                </w:pPr>
                <w:sdt>
                  <w:sdtPr>
                    <w:rPr>
                      <w:rFonts w:cs="Times New Roman"/>
                      <w:szCs w:val="20"/>
                    </w:rPr>
                    <w:tag w:val="goog_rdk_135"/>
                    <w:id w:val="1568723889"/>
                  </w:sdtPr>
                  <w:sdtContent>
                    <w:sdt>
                      <w:sdtPr>
                        <w:rPr>
                          <w:rFonts w:cs="Times New Roman"/>
                          <w:szCs w:val="20"/>
                        </w:rPr>
                        <w:tag w:val="goog_rdk_136"/>
                        <w:id w:val="1990855952"/>
                      </w:sdtPr>
                      <w:sdtContent>
                        <w:r w:rsidR="004B772A">
                          <w:rPr>
                            <w:rFonts w:eastAsia="Calibri" w:cs="Times New Roman"/>
                            <w:szCs w:val="20"/>
                          </w:rPr>
                          <w:t>Coal Dependent &amp; Climate Leaders,</w:t>
                        </w:r>
                      </w:sdtContent>
                    </w:sdt>
                  </w:sdtContent>
                </w:sdt>
              </w:p>
            </w:sdtContent>
          </w:sdt>
          <w:sdt>
            <w:sdtPr>
              <w:rPr>
                <w:rFonts w:cs="Times New Roman"/>
                <w:szCs w:val="20"/>
              </w:rPr>
              <w:tag w:val="goog_rdk_141"/>
              <w:id w:val="-1809128468"/>
            </w:sdtPr>
            <w:sdtContent>
              <w:p w14:paraId="7CF38000"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38"/>
                    <w:id w:val="615351814"/>
                  </w:sdtPr>
                  <w:sdtContent>
                    <w:sdt>
                      <w:sdtPr>
                        <w:rPr>
                          <w:rFonts w:cs="Times New Roman"/>
                          <w:szCs w:val="20"/>
                        </w:rPr>
                        <w:tag w:val="goog_rdk_139"/>
                        <w:id w:val="896698933"/>
                      </w:sdtPr>
                      <w:sdtContent>
                        <w:r w:rsidR="004B772A">
                          <w:rPr>
                            <w:rFonts w:eastAsia="Calibri" w:cs="Times New Roman"/>
                            <w:szCs w:val="20"/>
                          </w:rPr>
                          <w:t>Liberalized &amp; Coal Independent</w:t>
                        </w:r>
                      </w:sdtContent>
                    </w:sdt>
                    <w:sdt>
                      <w:sdtPr>
                        <w:rPr>
                          <w:rFonts w:cs="Times New Roman"/>
                          <w:szCs w:val="20"/>
                        </w:rPr>
                        <w:tag w:val="goog_rdk_140"/>
                        <w:id w:val="-925985887"/>
                        <w:showingPlcHdr/>
                      </w:sdtPr>
                      <w:sdtContent>
                        <w:r w:rsidR="004B772A">
                          <w:t>    </w:t>
                        </w:r>
                      </w:sdtContent>
                    </w:sdt>
                  </w:sdtContent>
                </w:sdt>
              </w:p>
            </w:sdtContent>
          </w:sdt>
        </w:tc>
        <w:tc>
          <w:tcPr>
            <w:tcW w:w="0" w:type="auto"/>
          </w:tcPr>
          <w:p w14:paraId="2482863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3E63124B"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Germany, UK</w:t>
            </w:r>
          </w:p>
        </w:tc>
        <w:tc>
          <w:tcPr>
            <w:tcW w:w="0" w:type="auto"/>
          </w:tcPr>
          <w:p w14:paraId="79C190D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coal</w:t>
            </w:r>
          </w:p>
        </w:tc>
      </w:tr>
      <w:tr w:rsidR="000055AD" w14:paraId="514D3340"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068382F4"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{"citationID":"3ewHxKsU","properties":{"formattedCitation":"(Chen et al. 2022)","plainCitation":"(Chen et al. 2022)","noteIndex":0},"citationItems":[{"id":41727,"uris":["http://zotero.org/groups/52011/items/FU4CHD5P"],"itemData":{"id":41727,"type":"article-journal","abstract":"The achievement of sustainable energy systems requires well-designed energy policies, particularly targeted strategies to plan the direction of energy development, regulations monitored and executed through credible authorities and laws enforced by the judicial system for the enhancement of actions and national targets. The Asia–Pacific region (APAC), responsible for more than half of global energy consumption, has enacted a large number of energy policies over the past two decades, but progress on the energy transition remains slow. This study focuses on the aggregate effect of energy policies on the progress towards sustainable targets in 42 emerging economies from 2000 to 2017. We find that energy policies have contributed to improving access to electricity (3.0%), access to clean cooking (3.8%), energy efficiency (1.4%) and renewable electricity capacity (6.9%), respectively. Among different types of energy policy (strategies, laws and regulations), strategies have greater impacts on advancing electrification, clean cooking and renewable electricity capacity than laws and regulations, whereas the laws are more effective for achieving energy efficiency. © 2022, The Author(s), under exclusive licence to Springer Nature Limited.","container-title":"Nature Energy","DOI":"10.1038/s41560-022-01029-2","issue":"7","page":"588-596","title":"The heterogeneous role of energy policies in the energy transition of Asia–Pacific emerging economies","volume":"7","author":[{"family":"Chen","given":"P."},{"family":"Wu","given":"Y."},{"family":"Meng","given":"J."},{"family":"He","given":"P."},{"family":"Li","given":"D."},{"family":"Coffman","given":"D. M."},{"family":"Liang","given":"X."},{"family":"Guan","given":"D."}],"issued":{"date-parts":[["2022"]]}}}],"schema":"https://github.com/citation-style-language/schema/raw/master/csl-citation.json"} </w:instrText>
            </w:r>
            <w:r>
              <w:rPr>
                <w:rFonts w:cs="Times New Roman"/>
                <w:szCs w:val="20"/>
              </w:rPr>
              <w:fldChar w:fldCharType="separate"/>
            </w:r>
            <w:r>
              <w:rPr>
                <w:rFonts w:cs="Times New Roman"/>
                <w:szCs w:val="20"/>
              </w:rPr>
              <w:t>(Chen et al. 2022)</w:t>
            </w:r>
            <w:r>
              <w:rPr>
                <w:rFonts w:cs="Times New Roman"/>
                <w:szCs w:val="20"/>
              </w:rPr>
              <w:fldChar w:fldCharType="end"/>
            </w:r>
          </w:p>
        </w:tc>
        <w:tc>
          <w:tcPr>
            <w:tcW w:w="0" w:type="auto"/>
          </w:tcPr>
          <w:sdt>
            <w:sdtPr>
              <w:rPr>
                <w:rFonts w:cs="Times New Roman"/>
                <w:szCs w:val="20"/>
              </w:rPr>
              <w:tag w:val="goog_rdk_161"/>
              <w:id w:val="1979039778"/>
            </w:sdtPr>
            <w:sdtContent>
              <w:p w14:paraId="7E4374E6"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58"/>
                    <w:id w:val="-1582243549"/>
                  </w:sdtPr>
                  <w:sdtContent>
                    <w:sdt>
                      <w:sdtPr>
                        <w:rPr>
                          <w:rFonts w:cs="Times New Roman"/>
                          <w:szCs w:val="20"/>
                        </w:rPr>
                        <w:tag w:val="goog_rdk_159"/>
                        <w:id w:val="577009831"/>
                      </w:sdtPr>
                      <w:sdtContent>
                        <w:r w:rsidR="004B772A">
                          <w:rPr>
                            <w:rFonts w:eastAsia="Calibri" w:cs="Times New Roman"/>
                            <w:szCs w:val="20"/>
                          </w:rPr>
                          <w:t>6</w:t>
                        </w:r>
                      </w:sdtContent>
                    </w:sdt>
                    <w:sdt>
                      <w:sdtPr>
                        <w:rPr>
                          <w:rFonts w:cs="Times New Roman"/>
                          <w:szCs w:val="20"/>
                        </w:rPr>
                        <w:tag w:val="goog_rdk_160"/>
                        <w:id w:val="-306232556"/>
                        <w:showingPlcHdr/>
                      </w:sdtPr>
                      <w:sdtContent>
                        <w:r w:rsidR="004B772A">
                          <w:t>    </w:t>
                        </w:r>
                      </w:sdtContent>
                    </w:sdt>
                  </w:sdtContent>
                </w:sdt>
              </w:p>
            </w:sdtContent>
          </w:sdt>
        </w:tc>
        <w:tc>
          <w:tcPr>
            <w:tcW w:w="0" w:type="auto"/>
          </w:tcPr>
          <w:sdt>
            <w:sdtPr>
              <w:rPr>
                <w:rFonts w:cs="Times New Roman"/>
                <w:szCs w:val="20"/>
              </w:rPr>
              <w:tag w:val="goog_rdk_165"/>
              <w:id w:val="1418345642"/>
            </w:sdtPr>
            <w:sdtContent>
              <w:p w14:paraId="7CE88679"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62"/>
                    <w:id w:val="1217197732"/>
                  </w:sdtPr>
                  <w:sdtContent>
                    <w:sdt>
                      <w:sdtPr>
                        <w:rPr>
                          <w:rFonts w:cs="Times New Roman"/>
                          <w:szCs w:val="20"/>
                        </w:rPr>
                        <w:tag w:val="goog_rdk_163"/>
                        <w:id w:val="-862807061"/>
                      </w:sdtPr>
                      <w:sdtContent>
                        <w:r w:rsidR="004B772A">
                          <w:rPr>
                            <w:rFonts w:eastAsia="Calibri" w:cs="Times New Roman"/>
                            <w:szCs w:val="20"/>
                          </w:rPr>
                          <w:t>Planners</w:t>
                        </w:r>
                      </w:sdtContent>
                    </w:sdt>
                    <w:sdt>
                      <w:sdtPr>
                        <w:rPr>
                          <w:rFonts w:cs="Times New Roman"/>
                          <w:szCs w:val="20"/>
                        </w:rPr>
                        <w:tag w:val="goog_rdk_164"/>
                        <w:id w:val="-748088483"/>
                        <w:showingPlcHdr/>
                      </w:sdtPr>
                      <w:sdtContent>
                        <w:r w:rsidR="004B772A">
                          <w:t>    </w:t>
                        </w:r>
                      </w:sdtContent>
                    </w:sdt>
                  </w:sdtContent>
                </w:sdt>
              </w:p>
            </w:sdtContent>
          </w:sdt>
        </w:tc>
        <w:tc>
          <w:tcPr>
            <w:tcW w:w="0" w:type="auto"/>
          </w:tcPr>
          <w:p w14:paraId="7F7BD7F3"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4D187931"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Asia–Pacific</w:t>
            </w:r>
          </w:p>
        </w:tc>
        <w:tc>
          <w:tcPr>
            <w:tcW w:w="0" w:type="auto"/>
          </w:tcPr>
          <w:p w14:paraId="3EEE26A4"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renewables</w:t>
            </w:r>
          </w:p>
        </w:tc>
      </w:tr>
      <w:tr w:rsidR="000055AD" w14:paraId="3D725170"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9B3F7A4"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{"citationID":"qDO5YtKM","properties":{"formattedCitation":"(Costa et al. 2022)","plainCitation":"(Costa et al. 2022)","noteIndex":0},"citationItems":[{"id":42032,"uris":["http://zotero.org/groups/52011/items/66ZM3LHZ"],"itemData":{"id":42032,"type":"article-journal","abstract":"Renewable energy is crucial to achieving carbon neutrality and supporting sustainable development, but its success depends on effective policies. This study aims to evaluate public policies and their influences on the use and diffusion of wind and solar PV into the Brazilian electricity grid and to understand if, and how, the two renewable sources could be affected by the post-COVID-19 pandemic scenario. This work plays an important role in the decarbonization of the electricity sector, highlights the need to modernize the Brazilian industrial park, and addresses new barriers to the development of renewable sources in the country. To carry out the analysis and answer the research questions, a mixed methodological approach was adopted covering the quantitative and qualitative aspects, led by a rigorous systematic review of the literature and semi-structured interviews with Brazilian stakeholders. The results revealed that 1/4 of the policies, characterized by socio-economic drives, were responsible for the growth of the share of wind and solar PV supply in the electrical mix, contributing to the decarbonization of the Brazilian energy mix. The results also suggest that new policies will be needed to ensure a greater presence of both sources in the electricity mix. The findings of the study reveal unpublished and valuable information capable of supporting policymakers and stakeholders in the diffusion of renewable sources. Further studies are needed to highlight other aspects, such as the need to modernize the \"distribution\" network and storage system for renewable technologies.","container-title":"Renewable &amp; sustainable energy reviews","DOI":"10.1016/j.rser.2022.112449","title":"Influence of public policies on the diffusion of wind and solar PV sources in Brazil and the possible effects of COVID-19","volume":"162","author":[{"family":"Costa","given":"Evaldo"},{"family":"Teixeira","given":"Ana Carolina Rodrigues"},{"family":"Costa","given":"Suellen Caroline Silva"},{"family":"Consoni","given":"Flavia L."}],"issued":{"date-parts":[["2022"]]}}}],"schema":"https://github.com/citation-style-language/schema/raw/master/csl-citation.json"} </w:instrText>
            </w:r>
            <w:r>
              <w:rPr>
                <w:rFonts w:cs="Times New Roman"/>
                <w:szCs w:val="20"/>
              </w:rPr>
              <w:fldChar w:fldCharType="separate"/>
            </w:r>
            <w:r>
              <w:rPr>
                <w:rFonts w:cs="Times New Roman"/>
                <w:szCs w:val="20"/>
              </w:rPr>
              <w:t>(Costa et al. 2022)</w:t>
            </w:r>
            <w:r>
              <w:rPr>
                <w:rFonts w:cs="Times New Roman"/>
                <w:szCs w:val="20"/>
              </w:rPr>
              <w:fldChar w:fldCharType="end"/>
            </w:r>
          </w:p>
        </w:tc>
        <w:tc>
          <w:tcPr>
            <w:tcW w:w="0" w:type="auto"/>
          </w:tcPr>
          <w:sdt>
            <w:sdtPr>
              <w:rPr>
                <w:rFonts w:cs="Times New Roman"/>
                <w:szCs w:val="20"/>
              </w:rPr>
              <w:tag w:val="goog_rdk_185"/>
              <w:id w:val="1932849371"/>
            </w:sdtPr>
            <w:sdtContent>
              <w:p w14:paraId="28301CCE"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82"/>
                    <w:id w:val="-1395842959"/>
                  </w:sdtPr>
                  <w:sdtContent>
                    <w:sdt>
                      <w:sdtPr>
                        <w:rPr>
                          <w:rFonts w:cs="Times New Roman"/>
                          <w:szCs w:val="20"/>
                        </w:rPr>
                        <w:tag w:val="goog_rdk_183"/>
                        <w:id w:val="671961583"/>
                      </w:sdtPr>
                      <w:sdtContent>
                        <w:r w:rsidR="004B772A">
                          <w:rPr>
                            <w:rFonts w:eastAsia="Calibri" w:cs="Times New Roman"/>
                            <w:szCs w:val="20"/>
                          </w:rPr>
                          <w:t>7</w:t>
                        </w:r>
                      </w:sdtContent>
                    </w:sdt>
                    <w:sdt>
                      <w:sdtPr>
                        <w:rPr>
                          <w:rFonts w:cs="Times New Roman"/>
                          <w:szCs w:val="20"/>
                        </w:rPr>
                        <w:tag w:val="goog_rdk_184"/>
                        <w:id w:val="-1291865164"/>
                        <w:showingPlcHdr/>
                      </w:sdtPr>
                      <w:sdtContent>
                        <w:r w:rsidR="004B772A">
                          <w:t>    </w:t>
                        </w:r>
                      </w:sdtContent>
                    </w:sdt>
                  </w:sdtContent>
                </w:sdt>
              </w:p>
            </w:sdtContent>
          </w:sdt>
        </w:tc>
        <w:tc>
          <w:tcPr>
            <w:tcW w:w="0" w:type="auto"/>
          </w:tcPr>
          <w:sdt>
            <w:sdtPr>
              <w:rPr>
                <w:rFonts w:cs="Times New Roman"/>
                <w:szCs w:val="20"/>
              </w:rPr>
              <w:tag w:val="goog_rdk_189"/>
              <w:id w:val="2012502348"/>
            </w:sdtPr>
            <w:sdtContent>
              <w:p w14:paraId="58CDD696"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86"/>
                    <w:id w:val="194604527"/>
                  </w:sdtPr>
                  <w:sdtContent>
                    <w:sdt>
                      <w:sdtPr>
                        <w:rPr>
                          <w:rFonts w:cs="Times New Roman"/>
                          <w:szCs w:val="20"/>
                        </w:rPr>
                        <w:tag w:val="goog_rdk_187"/>
                        <w:id w:val="-858977656"/>
                      </w:sdtPr>
                      <w:sdtContent>
                        <w:r w:rsidR="004B772A">
                          <w:rPr>
                            <w:rFonts w:eastAsia="Calibri" w:cs="Times New Roman"/>
                            <w:szCs w:val="20"/>
                          </w:rPr>
                          <w:t>Planners</w:t>
                        </w:r>
                      </w:sdtContent>
                    </w:sdt>
                    <w:sdt>
                      <w:sdtPr>
                        <w:rPr>
                          <w:rFonts w:cs="Times New Roman"/>
                          <w:szCs w:val="20"/>
                        </w:rPr>
                        <w:tag w:val="goog_rdk_188"/>
                        <w:id w:val="1309741818"/>
                        <w:showingPlcHdr/>
                      </w:sdtPr>
                      <w:sdtContent>
                        <w:r w:rsidR="004B772A">
                          <w:t>    </w:t>
                        </w:r>
                      </w:sdtContent>
                    </w:sdt>
                  </w:sdtContent>
                </w:sdt>
              </w:p>
            </w:sdtContent>
          </w:sdt>
        </w:tc>
        <w:tc>
          <w:tcPr>
            <w:tcW w:w="0" w:type="auto"/>
          </w:tcPr>
          <w:p w14:paraId="6BAE2AD5"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13AE0E44"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Brazil</w:t>
            </w:r>
          </w:p>
        </w:tc>
        <w:tc>
          <w:tcPr>
            <w:tcW w:w="0" w:type="auto"/>
          </w:tcPr>
          <w:p w14:paraId="1765F4F0"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 wind</w:t>
            </w:r>
          </w:p>
        </w:tc>
      </w:tr>
      <w:tr w:rsidR="000055AD" w14:paraId="162765B6"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65AAFCA5"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{"citationID":"K8o5SUsJ","properties":{"formattedCitation":"(Cowell et al. 2017)","plainCitation":"(Cowell et al. 2017)","noteIndex":0},"citationItems":[{"id":42042,"uris":["http://zotero.org/groups/52011/items/3NTCNJZE"],"itemData":{"id":42042,"type":"article-journal","abstract":"Amidst growing analytical interest in the spatial dimensions of sustainable energy transitions, relatively little attention has been given to the role of sub-national government, or the ways in which dominant socio-technical regimes for energy navigate diverse contexts. This paper addresses these two concerns by assessing the impacts of devolution within the UK on renewable energy development. It draws principally on policy networks analysis as the basis of a comparative assessment, examining how far the governments of Northern Ireland, Scotland and Wales have translated their formal powers in the energy sphere into renewable energy outcomes. Scotland's relative success in facilitating rapid expansion of on-shore wind is attributed to a more enduring and cohesive policy community around renewable energy growth than in Northern Ireland and Wales, but this success has been adversely affected by fragmenting policy networks around renewables at national (UK) level. The analysis highlights especially the role of planning and consenting, as mechanisms by which devolved governments have worked to contain the potentially disruptive effects of opposition to major infrastructure investments, thereby enhancing regime reproduction. © 2016 Elsevier Ltd","container-title":"Energy Research and Social Science","DOI":"10.1016/j.erss.2016.10.006","page":"169-181","title":"Energy transitions, sub-national government and regime flexibility: How has devolution in the United Kingdom affected renewable energy development?","volume":"23","author":[{"family":"Cowell","given":"R."},{"family":"Ellis","given":"G."},{"family":"Sherry-Brennan","given":"F."},{"family":"Strachan","given":"P. A."},{"family":"Toke","given":"D."}],"issued":{"date-parts":[["2017"]]}}}],"schema":"https://github.com/citation-style-language/schema/raw/master/csl-citation.json"} </w:instrText>
            </w:r>
            <w:r>
              <w:rPr>
                <w:rFonts w:cs="Times New Roman"/>
                <w:szCs w:val="20"/>
              </w:rPr>
              <w:fldChar w:fldCharType="separate"/>
            </w:r>
            <w:r>
              <w:rPr>
                <w:rFonts w:cs="Times New Roman"/>
                <w:szCs w:val="20"/>
              </w:rPr>
              <w:t>(Cowell et al. 2017)</w:t>
            </w:r>
            <w:r>
              <w:rPr>
                <w:rFonts w:cs="Times New Roman"/>
                <w:szCs w:val="20"/>
              </w:rPr>
              <w:fldChar w:fldCharType="end"/>
            </w:r>
          </w:p>
        </w:tc>
        <w:tc>
          <w:tcPr>
            <w:tcW w:w="0" w:type="auto"/>
          </w:tcPr>
          <w:sdt>
            <w:sdtPr>
              <w:rPr>
                <w:rFonts w:cs="Times New Roman"/>
                <w:szCs w:val="20"/>
              </w:rPr>
              <w:tag w:val="goog_rdk_209"/>
              <w:id w:val="1381551205"/>
            </w:sdtPr>
            <w:sdtContent>
              <w:p w14:paraId="6BAB204D"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206"/>
                    <w:id w:val="-794094240"/>
                  </w:sdtPr>
                  <w:sdtContent>
                    <w:sdt>
                      <w:sdtPr>
                        <w:rPr>
                          <w:rFonts w:cs="Times New Roman"/>
                          <w:szCs w:val="20"/>
                        </w:rPr>
                        <w:tag w:val="goog_rdk_207"/>
                        <w:id w:val="53340060"/>
                      </w:sdtPr>
                      <w:sdtContent>
                        <w:r w:rsidR="004B772A">
                          <w:rPr>
                            <w:rFonts w:eastAsia="Calibri" w:cs="Times New Roman"/>
                            <w:szCs w:val="20"/>
                          </w:rPr>
                          <w:t>8</w:t>
                        </w:r>
                      </w:sdtContent>
                    </w:sdt>
                    <w:sdt>
                      <w:sdtPr>
                        <w:rPr>
                          <w:rFonts w:cs="Times New Roman"/>
                          <w:szCs w:val="20"/>
                        </w:rPr>
                        <w:tag w:val="goog_rdk_208"/>
                        <w:id w:val="-49523515"/>
                        <w:showingPlcHdr/>
                      </w:sdtPr>
                      <w:sdtContent>
                        <w:r w:rsidR="004B772A">
                          <w:t>    </w:t>
                        </w:r>
                      </w:sdtContent>
                    </w:sdt>
                  </w:sdtContent>
                </w:sdt>
              </w:p>
            </w:sdtContent>
          </w:sdt>
        </w:tc>
        <w:tc>
          <w:tcPr>
            <w:tcW w:w="0" w:type="auto"/>
          </w:tcPr>
          <w:sdt>
            <w:sdtPr>
              <w:rPr>
                <w:rFonts w:cs="Times New Roman"/>
                <w:szCs w:val="20"/>
              </w:rPr>
              <w:tag w:val="goog_rdk_213"/>
              <w:id w:val="1513187121"/>
            </w:sdtPr>
            <w:sdtContent>
              <w:p w14:paraId="1F032C6D"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210"/>
                    <w:id w:val="1094654219"/>
                  </w:sdtPr>
                  <w:sdtContent>
                    <w:sdt>
                      <w:sdtPr>
                        <w:rPr>
                          <w:rFonts w:cs="Times New Roman"/>
                          <w:szCs w:val="20"/>
                        </w:rPr>
                        <w:tag w:val="goog_rdk_211"/>
                        <w:id w:val="221209340"/>
                      </w:sdtPr>
                      <w:sdtContent>
                        <w:r w:rsidR="004B772A">
                          <w:rPr>
                            <w:rFonts w:eastAsia="Calibri" w:cs="Times New Roman"/>
                            <w:szCs w:val="20"/>
                          </w:rPr>
                          <w:t>Regional Autonomy</w:t>
                        </w:r>
                      </w:sdtContent>
                    </w:sdt>
                    <w:sdt>
                      <w:sdtPr>
                        <w:rPr>
                          <w:rFonts w:cs="Times New Roman"/>
                          <w:szCs w:val="20"/>
                        </w:rPr>
                        <w:tag w:val="goog_rdk_212"/>
                        <w:id w:val="1544351562"/>
                        <w:showingPlcHdr/>
                      </w:sdtPr>
                      <w:sdtContent>
                        <w:r w:rsidR="004B772A">
                          <w:t>    </w:t>
                        </w:r>
                      </w:sdtContent>
                    </w:sdt>
                  </w:sdtContent>
                </w:sdt>
              </w:p>
            </w:sdtContent>
          </w:sdt>
        </w:tc>
        <w:tc>
          <w:tcPr>
            <w:tcW w:w="0" w:type="auto"/>
          </w:tcPr>
          <w:p w14:paraId="57CC0E37"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4A4A2BCC"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UK</w:t>
            </w:r>
          </w:p>
        </w:tc>
        <w:tc>
          <w:tcPr>
            <w:tcW w:w="0" w:type="auto"/>
          </w:tcPr>
          <w:p w14:paraId="1A7F067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 wind</w:t>
            </w:r>
          </w:p>
        </w:tc>
      </w:tr>
      <w:tr w:rsidR="000055AD" w14:paraId="35C52C72"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075BB3B"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{"citationID":"OxUaoGJp","properties":{"formattedCitation":"(Crago and Chernyakhovskiy 2017)","plainCitation":"(Crago and Chernyakhovskiy 2017)","noteIndex":0},"citationItems":[{"id":63495,"uris":["http://zotero.org/groups/52011/items/2JPTRN8Z"],"itemData":{"id":63495,"type":"article-journal","container-title":"Journal of Environmental Economics and Management","DOI":"10.1016/j.jeem.2016.09.008","ISSN":"0095-0696","note":"publisher: Elsevier BV","page":"132–151","title":"Are policy incentives for solar power effective? Evidence from residential installations in the Northeast","volume":"81","author":[{"family":"Crago","given":"Christine Lasco"},{"family":"Chernyakhovskiy","given":"Ilya"}],"issued":{"date-parts":[["2017",1]]}}}],"schema":"https://github.com/citation-style-language/schema/raw/master/csl-citation.json"} </w:instrText>
            </w:r>
            <w:r>
              <w:rPr>
                <w:rFonts w:cs="Times New Roman"/>
                <w:szCs w:val="20"/>
              </w:rPr>
              <w:fldChar w:fldCharType="separate"/>
            </w:r>
            <w:r>
              <w:rPr>
                <w:rFonts w:cs="Times New Roman"/>
                <w:szCs w:val="20"/>
              </w:rPr>
              <w:t>(Crago and Chernyakhovskiy 2017)</w:t>
            </w:r>
            <w:r>
              <w:rPr>
                <w:rFonts w:cs="Times New Roman"/>
                <w:szCs w:val="20"/>
              </w:rPr>
              <w:fldChar w:fldCharType="end"/>
            </w:r>
          </w:p>
        </w:tc>
        <w:tc>
          <w:tcPr>
            <w:tcW w:w="0" w:type="auto"/>
          </w:tcPr>
          <w:sdt>
            <w:sdtPr>
              <w:rPr>
                <w:rFonts w:cs="Times New Roman"/>
                <w:szCs w:val="20"/>
              </w:rPr>
              <w:tag w:val="goog_rdk_233"/>
              <w:id w:val="-1096054561"/>
            </w:sdtPr>
            <w:sdtContent>
              <w:p w14:paraId="3F9C7E2E"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230"/>
                    <w:id w:val="-1699686285"/>
                  </w:sdtPr>
                  <w:sdtContent>
                    <w:sdt>
                      <w:sdtPr>
                        <w:rPr>
                          <w:rFonts w:cs="Times New Roman"/>
                          <w:szCs w:val="20"/>
                        </w:rPr>
                        <w:tag w:val="goog_rdk_231"/>
                        <w:id w:val="-1880071564"/>
                      </w:sdtPr>
                      <w:sdtContent>
                        <w:r w:rsidR="004B772A">
                          <w:rPr>
                            <w:rFonts w:eastAsia="Calibri" w:cs="Times New Roman"/>
                            <w:szCs w:val="20"/>
                          </w:rPr>
                          <w:t>9</w:t>
                        </w:r>
                      </w:sdtContent>
                    </w:sdt>
                    <w:sdt>
                      <w:sdtPr>
                        <w:rPr>
                          <w:rFonts w:cs="Times New Roman"/>
                          <w:szCs w:val="20"/>
                        </w:rPr>
                        <w:tag w:val="goog_rdk_232"/>
                        <w:id w:val="515098500"/>
                        <w:showingPlcHdr/>
                      </w:sdtPr>
                      <w:sdtContent>
                        <w:r w:rsidR="004B772A">
                          <w:t>    </w:t>
                        </w:r>
                      </w:sdtContent>
                    </w:sdt>
                  </w:sdtContent>
                </w:sdt>
              </w:p>
            </w:sdtContent>
          </w:sdt>
        </w:tc>
        <w:tc>
          <w:tcPr>
            <w:tcW w:w="0" w:type="auto"/>
          </w:tcPr>
          <w:sdt>
            <w:sdtPr>
              <w:rPr>
                <w:rFonts w:cs="Times New Roman"/>
                <w:szCs w:val="20"/>
              </w:rPr>
              <w:tag w:val="goog_rdk_237"/>
              <w:id w:val="-1926486989"/>
            </w:sdtPr>
            <w:sdtContent>
              <w:p w14:paraId="71A189F1"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234"/>
                    <w:id w:val="-1072662845"/>
                  </w:sdtPr>
                  <w:sdtContent>
                    <w:sdt>
                      <w:sdtPr>
                        <w:rPr>
                          <w:rFonts w:cs="Times New Roman"/>
                          <w:szCs w:val="20"/>
                        </w:rPr>
                        <w:tag w:val="goog_rdk_235"/>
                        <w:id w:val="1672347163"/>
                      </w:sdtPr>
                      <w:sdtContent>
                        <w:r w:rsidR="004B772A">
                          <w:rPr>
                            <w:rFonts w:eastAsia="Calibri" w:cs="Times New Roman"/>
                            <w:szCs w:val="20"/>
                          </w:rPr>
                          <w:t>Instrumentalists</w:t>
                        </w:r>
                      </w:sdtContent>
                    </w:sdt>
                    <w:sdt>
                      <w:sdtPr>
                        <w:rPr>
                          <w:rFonts w:cs="Times New Roman"/>
                          <w:szCs w:val="20"/>
                        </w:rPr>
                        <w:tag w:val="goog_rdk_236"/>
                        <w:id w:val="-1483912348"/>
                        <w:showingPlcHdr/>
                      </w:sdtPr>
                      <w:sdtContent>
                        <w:r w:rsidR="004B772A">
                          <w:t>    </w:t>
                        </w:r>
                      </w:sdtContent>
                    </w:sdt>
                  </w:sdtContent>
                </w:sdt>
              </w:p>
            </w:sdtContent>
          </w:sdt>
        </w:tc>
        <w:tc>
          <w:tcPr>
            <w:tcW w:w="0" w:type="auto"/>
          </w:tcPr>
          <w:p w14:paraId="5D35E90C"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783A4CFE"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US</w:t>
            </w:r>
          </w:p>
        </w:tc>
        <w:tc>
          <w:tcPr>
            <w:tcW w:w="0" w:type="auto"/>
          </w:tcPr>
          <w:p w14:paraId="6FA8B218"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w:t>
            </w:r>
          </w:p>
        </w:tc>
      </w:tr>
      <w:tr w:rsidR="000055AD" w14:paraId="4C7033CA"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6846D047"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{"citationID":"pBd3B1dE","properties":{"formattedCitation":"(De Laurentis and Pearson 2021)","plainCitation":"(De Laurentis and Pearson 2021)","noteIndex":0},"citationItems":[{"id":63493,"uris":["http://zotero.org/groups/52011/items/6QYHRY2Y"],"itemData":{"id":63493,"type":"article-journal","container-title":"Energy, Sustainability and Society","DOI":"10.1186/s13705-021-00295-4","ISSN":"2192-0567","issue":"1","note":"publisher: Springer Science and Business Media LLC","title":"Policy-relevant insights for regional renewable energy deployment","URL":"http://dx.doi.org/10.1186/s13705-021-00295-4","volume":"11","author":[{"family":"De Laurentis","given":"Carla"},{"family":"Pearson","given":"Peter J. G."}],"issued":{"date-parts":[["2021",6]]}}}],"schema":"https://github.com/citation-style-language/schema/raw/master/csl-citation.json"} </w:instrText>
            </w:r>
            <w:r>
              <w:rPr>
                <w:rFonts w:cs="Times New Roman"/>
                <w:szCs w:val="20"/>
              </w:rPr>
              <w:fldChar w:fldCharType="separate"/>
            </w:r>
            <w:r>
              <w:rPr>
                <w:rFonts w:cs="Times New Roman"/>
                <w:szCs w:val="20"/>
              </w:rPr>
              <w:t>(De Laurentis and Pearson 2021)</w:t>
            </w:r>
            <w:r>
              <w:rPr>
                <w:rFonts w:cs="Times New Roman"/>
                <w:szCs w:val="20"/>
              </w:rPr>
              <w:fldChar w:fldCharType="end"/>
            </w:r>
          </w:p>
        </w:tc>
        <w:tc>
          <w:tcPr>
            <w:tcW w:w="0" w:type="auto"/>
          </w:tcPr>
          <w:sdt>
            <w:sdtPr>
              <w:rPr>
                <w:rFonts w:cs="Times New Roman"/>
                <w:szCs w:val="20"/>
              </w:rPr>
              <w:tag w:val="goog_rdk_257"/>
              <w:id w:val="-953818463"/>
            </w:sdtPr>
            <w:sdtContent>
              <w:p w14:paraId="7FB11CD7"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254"/>
                    <w:id w:val="1122705297"/>
                  </w:sdtPr>
                  <w:sdtContent>
                    <w:sdt>
                      <w:sdtPr>
                        <w:rPr>
                          <w:rFonts w:cs="Times New Roman"/>
                          <w:szCs w:val="20"/>
                        </w:rPr>
                        <w:tag w:val="goog_rdk_255"/>
                        <w:id w:val="-637971222"/>
                      </w:sdtPr>
                      <w:sdtContent>
                        <w:r w:rsidR="004B772A">
                          <w:rPr>
                            <w:rFonts w:eastAsia="Calibri" w:cs="Times New Roman"/>
                            <w:szCs w:val="20"/>
                          </w:rPr>
                          <w:t>10</w:t>
                        </w:r>
                      </w:sdtContent>
                    </w:sdt>
                    <w:sdt>
                      <w:sdtPr>
                        <w:rPr>
                          <w:rFonts w:cs="Times New Roman"/>
                          <w:szCs w:val="20"/>
                        </w:rPr>
                        <w:tag w:val="goog_rdk_256"/>
                        <w:id w:val="1494716153"/>
                        <w:showingPlcHdr/>
                      </w:sdtPr>
                      <w:sdtContent>
                        <w:r w:rsidR="004B772A">
                          <w:t>    </w:t>
                        </w:r>
                      </w:sdtContent>
                    </w:sdt>
                  </w:sdtContent>
                </w:sdt>
              </w:p>
            </w:sdtContent>
          </w:sdt>
        </w:tc>
        <w:tc>
          <w:tcPr>
            <w:tcW w:w="0" w:type="auto"/>
          </w:tcPr>
          <w:sdt>
            <w:sdtPr>
              <w:rPr>
                <w:rFonts w:cs="Times New Roman"/>
                <w:szCs w:val="20"/>
              </w:rPr>
              <w:tag w:val="goog_rdk_260"/>
              <w:id w:val="1924076471"/>
            </w:sdtPr>
            <w:sdtContent>
              <w:p w14:paraId="48AC5745" w14:textId="77777777" w:rsidR="000055AD" w:rsidRDefault="00000000">
                <w:pPr>
                  <w:cnfStyle w:val="000000000000" w:firstRow="0" w:lastRow="0" w:firstColumn="0" w:lastColumn="0" w:oddVBand="0" w:evenVBand="0" w:oddHBand="0" w:evenHBand="0" w:firstRowFirstColumn="0" w:firstRowLastColumn="0" w:lastRowFirstColumn="0" w:lastRowLastColumn="0"/>
                  <w:rPr>
                    <w:rFonts w:eastAsia="Calibri" w:cs="Times New Roman"/>
                    <w:szCs w:val="20"/>
                  </w:rPr>
                </w:pPr>
                <w:sdt>
                  <w:sdtPr>
                    <w:rPr>
                      <w:rFonts w:cs="Times New Roman"/>
                      <w:szCs w:val="20"/>
                    </w:rPr>
                    <w:tag w:val="goog_rdk_258"/>
                    <w:id w:val="-1817862156"/>
                  </w:sdtPr>
                  <w:sdtContent>
                    <w:sdt>
                      <w:sdtPr>
                        <w:rPr>
                          <w:rFonts w:cs="Times New Roman"/>
                          <w:szCs w:val="20"/>
                        </w:rPr>
                        <w:tag w:val="goog_rdk_259"/>
                        <w:id w:val="1614513433"/>
                        <w:showingPlcHdr/>
                      </w:sdtPr>
                      <w:sdtContent>
                        <w:r w:rsidR="00111B6B">
                          <w:rPr>
                            <w:rFonts w:cs="Times New Roman"/>
                            <w:szCs w:val="20"/>
                          </w:rPr>
                          <w:t xml:space="preserve">     </w:t>
                        </w:r>
                      </w:sdtContent>
                    </w:sdt>
                  </w:sdtContent>
                </w:sdt>
              </w:p>
            </w:sdtContent>
          </w:sdt>
          <w:sdt>
            <w:sdtPr>
              <w:rPr>
                <w:rFonts w:cs="Times New Roman"/>
                <w:szCs w:val="20"/>
              </w:rPr>
              <w:tag w:val="goog_rdk_264"/>
              <w:id w:val="1389043741"/>
            </w:sdtPr>
            <w:sdtContent>
              <w:p w14:paraId="169CD2F4"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261"/>
                    <w:id w:val="1580532699"/>
                  </w:sdtPr>
                  <w:sdtContent>
                    <w:sdt>
                      <w:sdtPr>
                        <w:rPr>
                          <w:rFonts w:cs="Times New Roman"/>
                          <w:szCs w:val="20"/>
                        </w:rPr>
                        <w:tag w:val="goog_rdk_262"/>
                        <w:id w:val="-632594635"/>
                      </w:sdtPr>
                      <w:sdtContent>
                        <w:r w:rsidR="004B772A">
                          <w:rPr>
                            <w:rFonts w:eastAsia="Calibri" w:cs="Times New Roman"/>
                            <w:szCs w:val="20"/>
                          </w:rPr>
                          <w:t>Regional Autonomy</w:t>
                        </w:r>
                      </w:sdtContent>
                    </w:sdt>
                    <w:sdt>
                      <w:sdtPr>
                        <w:rPr>
                          <w:rFonts w:cs="Times New Roman"/>
                          <w:szCs w:val="20"/>
                        </w:rPr>
                        <w:tag w:val="goog_rdk_263"/>
                        <w:id w:val="634798222"/>
                        <w:showingPlcHdr/>
                      </w:sdtPr>
                      <w:sdtContent>
                        <w:r w:rsidR="004B772A">
                          <w:t>    </w:t>
                        </w:r>
                      </w:sdtContent>
                    </w:sdt>
                  </w:sdtContent>
                </w:sdt>
              </w:p>
            </w:sdtContent>
          </w:sdt>
        </w:tc>
        <w:tc>
          <w:tcPr>
            <w:tcW w:w="0" w:type="auto"/>
          </w:tcPr>
          <w:p w14:paraId="195588CD"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016DCFC2"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Apulia, Tuscany, Scotland</w:t>
            </w:r>
          </w:p>
        </w:tc>
        <w:tc>
          <w:tcPr>
            <w:tcW w:w="0" w:type="auto"/>
          </w:tcPr>
          <w:p w14:paraId="6CC7EA30"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 wind</w:t>
            </w:r>
          </w:p>
        </w:tc>
      </w:tr>
      <w:tr w:rsidR="000055AD" w14:paraId="70C3B7A5"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77FB79C"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{"citationID":"ld5Vw23e","properties":{"formattedCitation":"(Dent 2015)","plainCitation":"(Dent 2015)","noteIndex":0},"citationItems":[{"id":42330,"uris":["http://zotero.org/groups/52011/items/6MP9SLC5"],"itemData":{"id":42330,"type":"article-journal","abstract":"China has been at the forefront of the recent global expansion of renewable energy (RE) activity. This study examines how the country has achieved its position as the world's largest producer and exporter of RE products, and biggest power generator from renewables. More specifically, it explores the main motives driving RE development in China, how this is embedded in broader new development thinking on realising ‘ecological civilization’ goals, evolving government policies on strategic planning on renewables and the complex multi-layered landscape of China's RE business where various types of state-owned enterprises collaborate and compete among each other alongside a now large number of private companies, especially in equipment manufacturing. © 2014, © 2014 Taylor &amp; Francis.","container-title":"Asia Pacific Business Review","DOI":"10.1080/13602381.2014.939892","issue":"1","page":"26-43","title":"China's renewable energy development: policy, industry and business perspectives","volume":"21","author":[{"family":"Dent","given":"C. M."}],"issued":{"date-parts":[["2015"]]}}}],"schema":"https://github.com/citation-style-language/schema/raw/master/csl-citation.json"} </w:instrText>
            </w:r>
            <w:r>
              <w:rPr>
                <w:rFonts w:cs="Times New Roman"/>
                <w:szCs w:val="20"/>
              </w:rPr>
              <w:fldChar w:fldCharType="separate"/>
            </w:r>
            <w:r>
              <w:rPr>
                <w:rFonts w:cs="Times New Roman"/>
                <w:szCs w:val="20"/>
              </w:rPr>
              <w:t>(Dent 2015)</w:t>
            </w:r>
            <w:r>
              <w:rPr>
                <w:rFonts w:cs="Times New Roman"/>
                <w:szCs w:val="20"/>
              </w:rPr>
              <w:fldChar w:fldCharType="end"/>
            </w:r>
          </w:p>
        </w:tc>
        <w:tc>
          <w:tcPr>
            <w:tcW w:w="0" w:type="auto"/>
          </w:tcPr>
          <w:sdt>
            <w:sdtPr>
              <w:rPr>
                <w:rFonts w:cs="Times New Roman"/>
                <w:szCs w:val="20"/>
              </w:rPr>
              <w:tag w:val="goog_rdk_284"/>
              <w:id w:val="1667778248"/>
            </w:sdtPr>
            <w:sdtContent>
              <w:p w14:paraId="49B38C60"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281"/>
                    <w:id w:val="-1340015802"/>
                  </w:sdtPr>
                  <w:sdtContent>
                    <w:sdt>
                      <w:sdtPr>
                        <w:rPr>
                          <w:rFonts w:cs="Times New Roman"/>
                          <w:szCs w:val="20"/>
                        </w:rPr>
                        <w:tag w:val="goog_rdk_282"/>
                        <w:id w:val="-1331300881"/>
                      </w:sdtPr>
                      <w:sdtContent>
                        <w:r w:rsidR="004B772A">
                          <w:rPr>
                            <w:rFonts w:eastAsia="Calibri" w:cs="Times New Roman"/>
                            <w:szCs w:val="20"/>
                          </w:rPr>
                          <w:t>11</w:t>
                        </w:r>
                      </w:sdtContent>
                    </w:sdt>
                    <w:sdt>
                      <w:sdtPr>
                        <w:rPr>
                          <w:rFonts w:cs="Times New Roman"/>
                          <w:szCs w:val="20"/>
                        </w:rPr>
                        <w:tag w:val="goog_rdk_283"/>
                        <w:id w:val="-308899377"/>
                        <w:showingPlcHdr/>
                      </w:sdtPr>
                      <w:sdtContent>
                        <w:r w:rsidR="004B772A">
                          <w:t>    </w:t>
                        </w:r>
                      </w:sdtContent>
                    </w:sdt>
                  </w:sdtContent>
                </w:sdt>
              </w:p>
            </w:sdtContent>
          </w:sdt>
        </w:tc>
        <w:tc>
          <w:tcPr>
            <w:tcW w:w="0" w:type="auto"/>
          </w:tcPr>
          <w:sdt>
            <w:sdtPr>
              <w:rPr>
                <w:rFonts w:cs="Times New Roman"/>
                <w:szCs w:val="20"/>
              </w:rPr>
              <w:tag w:val="goog_rdk_288"/>
              <w:id w:val="1103251074"/>
            </w:sdtPr>
            <w:sdtContent>
              <w:p w14:paraId="081D1B44"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285"/>
                    <w:id w:val="-1577654253"/>
                  </w:sdtPr>
                  <w:sdtContent>
                    <w:sdt>
                      <w:sdtPr>
                        <w:rPr>
                          <w:rFonts w:cs="Times New Roman"/>
                          <w:szCs w:val="20"/>
                        </w:rPr>
                        <w:tag w:val="goog_rdk_286"/>
                        <w:id w:val="397033532"/>
                      </w:sdtPr>
                      <w:sdtContent>
                        <w:r w:rsidR="004B772A">
                          <w:rPr>
                            <w:rFonts w:eastAsia="Calibri" w:cs="Times New Roman"/>
                            <w:szCs w:val="20"/>
                          </w:rPr>
                          <w:t>Planners</w:t>
                        </w:r>
                      </w:sdtContent>
                    </w:sdt>
                    <w:sdt>
                      <w:sdtPr>
                        <w:rPr>
                          <w:rFonts w:cs="Times New Roman"/>
                          <w:szCs w:val="20"/>
                        </w:rPr>
                        <w:tag w:val="goog_rdk_287"/>
                        <w:id w:val="-930530359"/>
                        <w:showingPlcHdr/>
                      </w:sdtPr>
                      <w:sdtContent>
                        <w:r w:rsidR="004B772A">
                          <w:t>    </w:t>
                        </w:r>
                      </w:sdtContent>
                    </w:sdt>
                  </w:sdtContent>
                </w:sdt>
              </w:p>
            </w:sdtContent>
          </w:sdt>
        </w:tc>
        <w:tc>
          <w:tcPr>
            <w:tcW w:w="0" w:type="auto"/>
          </w:tcPr>
          <w:p w14:paraId="5FABB1C1"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58CF1FD7"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China</w:t>
            </w:r>
          </w:p>
        </w:tc>
        <w:tc>
          <w:tcPr>
            <w:tcW w:w="0" w:type="auto"/>
          </w:tcPr>
          <w:p w14:paraId="1D055612"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renewables, solar, wind</w:t>
            </w:r>
          </w:p>
        </w:tc>
      </w:tr>
      <w:tr w:rsidR="000055AD" w14:paraId="71A4D796"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1F691D3E"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{"citationID":"TpTUT0aF","properties":{"formattedCitation":"(Thang Nam Do and Burke 2023)","plainCitation":"(Thang Nam Do and Burke 2023)","noteIndex":0},"citationItems":[{"id":63490,"uris":["http://zotero.org/groups/52011/items/U3GL3QM5"],"itemData":{"id":63490,"type":"article-journal","container-title":"Energy Policy","DOI":"10.1016/j.enpol.2023.113512","ISSN":"0301-4215","note":"publisher: Elsevier BV","page":"113512","title":"Phasing out coal power in a developing country context: Insights from Vietnam","volume":"176","author":[{"family":"Do","given":"Thang Nam"},{"family":"Burke","given":"Paul J."}],"issued":{"date-parts":[["2023",5]]}}}],"schema":"https://github.com/citation-style-language/schema/raw/master/csl-citation.json"} </w:instrText>
            </w:r>
            <w:r>
              <w:rPr>
                <w:rFonts w:cs="Times New Roman"/>
                <w:szCs w:val="20"/>
              </w:rPr>
              <w:fldChar w:fldCharType="separate"/>
            </w:r>
            <w:r>
              <w:rPr>
                <w:rFonts w:cs="Times New Roman"/>
                <w:szCs w:val="20"/>
              </w:rPr>
              <w:t>(Thang Nam Do and Burke 2023)</w:t>
            </w:r>
            <w:r>
              <w:rPr>
                <w:rFonts w:cs="Times New Roman"/>
                <w:szCs w:val="20"/>
              </w:rPr>
              <w:fldChar w:fldCharType="end"/>
            </w:r>
          </w:p>
        </w:tc>
        <w:tc>
          <w:tcPr>
            <w:tcW w:w="0" w:type="auto"/>
          </w:tcPr>
          <w:sdt>
            <w:sdtPr>
              <w:rPr>
                <w:rFonts w:cs="Times New Roman"/>
                <w:szCs w:val="20"/>
              </w:rPr>
              <w:tag w:val="goog_rdk_308"/>
              <w:id w:val="696102801"/>
            </w:sdtPr>
            <w:sdtContent>
              <w:p w14:paraId="1E93A75F"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305"/>
                    <w:id w:val="1281771434"/>
                  </w:sdtPr>
                  <w:sdtContent>
                    <w:sdt>
                      <w:sdtPr>
                        <w:rPr>
                          <w:rFonts w:cs="Times New Roman"/>
                          <w:szCs w:val="20"/>
                        </w:rPr>
                        <w:tag w:val="goog_rdk_306"/>
                        <w:id w:val="794559363"/>
                      </w:sdtPr>
                      <w:sdtContent>
                        <w:r w:rsidR="004B772A">
                          <w:rPr>
                            <w:rFonts w:eastAsia="Calibri" w:cs="Times New Roman"/>
                            <w:szCs w:val="20"/>
                          </w:rPr>
                          <w:t>12</w:t>
                        </w:r>
                      </w:sdtContent>
                    </w:sdt>
                    <w:sdt>
                      <w:sdtPr>
                        <w:rPr>
                          <w:rFonts w:cs="Times New Roman"/>
                          <w:szCs w:val="20"/>
                        </w:rPr>
                        <w:tag w:val="goog_rdk_307"/>
                        <w:id w:val="-502027244"/>
                        <w:showingPlcHdr/>
                      </w:sdtPr>
                      <w:sdtContent>
                        <w:r w:rsidR="004B772A">
                          <w:t>    </w:t>
                        </w:r>
                      </w:sdtContent>
                    </w:sdt>
                  </w:sdtContent>
                </w:sdt>
              </w:p>
            </w:sdtContent>
          </w:sdt>
        </w:tc>
        <w:tc>
          <w:tcPr>
            <w:tcW w:w="0" w:type="auto"/>
          </w:tcPr>
          <w:sdt>
            <w:sdtPr>
              <w:rPr>
                <w:rFonts w:cs="Times New Roman"/>
                <w:szCs w:val="20"/>
              </w:rPr>
              <w:tag w:val="goog_rdk_312"/>
              <w:id w:val="-2032340514"/>
            </w:sdtPr>
            <w:sdtContent>
              <w:p w14:paraId="2188A4CE"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309"/>
                    <w:id w:val="135884611"/>
                  </w:sdtPr>
                  <w:sdtContent>
                    <w:sdt>
                      <w:sdtPr>
                        <w:rPr>
                          <w:rFonts w:cs="Times New Roman"/>
                          <w:szCs w:val="20"/>
                        </w:rPr>
                        <w:tag w:val="goog_rdk_310"/>
                        <w:id w:val="1953313951"/>
                      </w:sdtPr>
                      <w:sdtContent>
                        <w:r w:rsidR="004B772A">
                          <w:rPr>
                            <w:rFonts w:eastAsia="Calibri" w:cs="Times New Roman"/>
                            <w:szCs w:val="20"/>
                          </w:rPr>
                          <w:t>Internationally Supported</w:t>
                        </w:r>
                      </w:sdtContent>
                    </w:sdt>
                    <w:sdt>
                      <w:sdtPr>
                        <w:rPr>
                          <w:rFonts w:cs="Times New Roman"/>
                          <w:szCs w:val="20"/>
                        </w:rPr>
                        <w:tag w:val="goog_rdk_311"/>
                        <w:id w:val="1035560384"/>
                        <w:showingPlcHdr/>
                      </w:sdtPr>
                      <w:sdtContent>
                        <w:r w:rsidR="004B772A">
                          <w:t>    </w:t>
                        </w:r>
                      </w:sdtContent>
                    </w:sdt>
                  </w:sdtContent>
                </w:sdt>
              </w:p>
            </w:sdtContent>
          </w:sdt>
        </w:tc>
        <w:tc>
          <w:tcPr>
            <w:tcW w:w="0" w:type="auto"/>
          </w:tcPr>
          <w:p w14:paraId="12273CA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064E3633"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Vietnam</w:t>
            </w:r>
          </w:p>
        </w:tc>
        <w:tc>
          <w:tcPr>
            <w:tcW w:w="0" w:type="auto"/>
          </w:tcPr>
          <w:p w14:paraId="0181F51C"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coal</w:t>
            </w:r>
          </w:p>
        </w:tc>
      </w:tr>
      <w:tr w:rsidR="000055AD" w14:paraId="5F400FFA"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BEF79F9"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{"citationID":"z9zVkuTq","properties":{"formattedCitation":"(T. N. Do et al. 2021)","plainCitation":"(T. N. Do et al. 2021)","noteIndex":0},"citationItems":[{"id":42464,"uris":["http://zotero.org/groups/52011/items/D24RQSXR"],"itemData":{"id":42464,"type":"article-journal","abstract":"This study analyzes the factors that have facilitated Vietnam's recent rapid solar and wind power expansion and draws policy insights for other member states of the Association of Southeast Asian Nations (ASEAN). A policy-mix analysis focusing on targets, incentive instruments, enabling regulations, and policy implementation is carried out, informed by semi-structured interviews with 20 Vietnamese experts during the period January–March 2021. A comparative analysis between Vietnam and the other ASEAN countries provides policy insights. Generous feed-in tariffs are found to have been a key driver, with income tax and land lease payment exemptions also being important. The main barriers include a high level of policy uncertainty and an underprepared transmission grid. Vietnam's case indicates that a strong price signal and a supportive investment environment can pave the way for rapid solar and wind power uptake. Another key lesson is that early preparation of transmission systems for solar and wind electricity is needed to maximize the potential for expanding the use of these technologies. © 2021 The Authors","container-title":"Energy for Sustainable Development","DOI":"10.1016/j.esd.2021.09.002","page":"1-11","title":"Vietnam's solar and wind power success: Policy implications for the other ASEAN countries","volume":"65","author":[{"family":"Do","given":"T. N."},{"family":"Burke","given":"P. J."},{"family":"Nguyen","given":"H. N."},{"family":"Overland","given":"I."},{"family":"Suryadi","given":"B."},{"family":"Swandaru","given":"A."},{"family":"Yurnaidi","given":"Z."}],"issued":{"date-parts":[["2021"]]}}}],"schema":"https://github.com/citation-style-language/schema/raw/master/csl-citation.json"} </w:instrText>
            </w:r>
            <w:r>
              <w:rPr>
                <w:rFonts w:cs="Times New Roman"/>
                <w:szCs w:val="20"/>
              </w:rPr>
              <w:fldChar w:fldCharType="separate"/>
            </w:r>
            <w:r>
              <w:rPr>
                <w:rFonts w:cs="Times New Roman"/>
                <w:szCs w:val="20"/>
              </w:rPr>
              <w:t>(T. N. Do et al. 2021)</w:t>
            </w:r>
            <w:r>
              <w:rPr>
                <w:rFonts w:cs="Times New Roman"/>
                <w:szCs w:val="20"/>
              </w:rPr>
              <w:fldChar w:fldCharType="end"/>
            </w:r>
          </w:p>
        </w:tc>
        <w:tc>
          <w:tcPr>
            <w:tcW w:w="0" w:type="auto"/>
          </w:tcPr>
          <w:sdt>
            <w:sdtPr>
              <w:rPr>
                <w:rFonts w:cs="Times New Roman"/>
                <w:szCs w:val="20"/>
              </w:rPr>
              <w:tag w:val="goog_rdk_332"/>
              <w:id w:val="1449836637"/>
            </w:sdtPr>
            <w:sdtContent>
              <w:p w14:paraId="0D271ACE"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329"/>
                    <w:id w:val="-1255253417"/>
                  </w:sdtPr>
                  <w:sdtContent>
                    <w:sdt>
                      <w:sdtPr>
                        <w:rPr>
                          <w:rFonts w:cs="Times New Roman"/>
                          <w:szCs w:val="20"/>
                        </w:rPr>
                        <w:tag w:val="goog_rdk_330"/>
                        <w:id w:val="-1874013032"/>
                      </w:sdtPr>
                      <w:sdtContent>
                        <w:r w:rsidR="004B772A">
                          <w:rPr>
                            <w:rFonts w:eastAsia="Calibri" w:cs="Times New Roman"/>
                            <w:szCs w:val="20"/>
                          </w:rPr>
                          <w:t>13</w:t>
                        </w:r>
                      </w:sdtContent>
                    </w:sdt>
                    <w:sdt>
                      <w:sdtPr>
                        <w:rPr>
                          <w:rFonts w:cs="Times New Roman"/>
                          <w:szCs w:val="20"/>
                        </w:rPr>
                        <w:tag w:val="goog_rdk_331"/>
                        <w:id w:val="-2099016280"/>
                        <w:showingPlcHdr/>
                      </w:sdtPr>
                      <w:sdtContent>
                        <w:r w:rsidR="004B772A">
                          <w:t>    </w:t>
                        </w:r>
                      </w:sdtContent>
                    </w:sdt>
                  </w:sdtContent>
                </w:sdt>
              </w:p>
            </w:sdtContent>
          </w:sdt>
        </w:tc>
        <w:tc>
          <w:tcPr>
            <w:tcW w:w="0" w:type="auto"/>
          </w:tcPr>
          <w:sdt>
            <w:sdtPr>
              <w:rPr>
                <w:rFonts w:cs="Times New Roman"/>
                <w:szCs w:val="20"/>
              </w:rPr>
              <w:tag w:val="goog_rdk_336"/>
              <w:id w:val="525786231"/>
            </w:sdtPr>
            <w:sdtContent>
              <w:p w14:paraId="303C000B"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333"/>
                    <w:id w:val="-670868534"/>
                  </w:sdtPr>
                  <w:sdtContent>
                    <w:sdt>
                      <w:sdtPr>
                        <w:rPr>
                          <w:rFonts w:cs="Times New Roman"/>
                          <w:szCs w:val="20"/>
                        </w:rPr>
                        <w:tag w:val="goog_rdk_334"/>
                        <w:id w:val="-1669669518"/>
                      </w:sdtPr>
                      <w:sdtContent>
                        <w:r w:rsidR="004B772A">
                          <w:rPr>
                            <w:rFonts w:eastAsia="Calibri" w:cs="Times New Roman"/>
                            <w:szCs w:val="20"/>
                          </w:rPr>
                          <w:t>Planners</w:t>
                        </w:r>
                      </w:sdtContent>
                    </w:sdt>
                    <w:sdt>
                      <w:sdtPr>
                        <w:rPr>
                          <w:rFonts w:cs="Times New Roman"/>
                          <w:szCs w:val="20"/>
                        </w:rPr>
                        <w:tag w:val="goog_rdk_335"/>
                        <w:id w:val="-452942459"/>
                        <w:showingPlcHdr/>
                      </w:sdtPr>
                      <w:sdtContent>
                        <w:r w:rsidR="004B772A">
                          <w:t>    </w:t>
                        </w:r>
                      </w:sdtContent>
                    </w:sdt>
                  </w:sdtContent>
                </w:sdt>
              </w:p>
            </w:sdtContent>
          </w:sdt>
        </w:tc>
        <w:tc>
          <w:tcPr>
            <w:tcW w:w="0" w:type="auto"/>
          </w:tcPr>
          <w:p w14:paraId="08DA6A1C"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3E256BEB"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Vietnam</w:t>
            </w:r>
          </w:p>
        </w:tc>
        <w:tc>
          <w:tcPr>
            <w:tcW w:w="0" w:type="auto"/>
          </w:tcPr>
          <w:p w14:paraId="3CA9F59B"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w:t>
            </w:r>
          </w:p>
        </w:tc>
      </w:tr>
      <w:tr w:rsidR="000055AD" w14:paraId="5E7F07D4"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37B1CD67"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{"citationID":"ze8wxI3J","properties":{"formattedCitation":"(T. N. Do et al. 2020)","plainCitation":"(T. N. Do et al. 2020)","noteIndex":0},"citationItems":[{"id":42463,"uris":["http://zotero.org/groups/52011/items/R6M59XUK"],"itemData":{"id":42463,"type":"article-journal","abstract":"Vietnam experienced a solar photovoltaic (PV) installation boom in the first half of 2019, with installed capacity increasing to 4,450 MW. This saw Vietnam overtake Thailand to have the largest installed solar PV capacity in Southeast Asia. This paper investigates the underlying drivers of Vietnam's solar boom, barriers to further solar adoption, and suitable strategies for the next stage of solar adoption. Forty-six semi-structured interviews were conducted with experts from government agencies, international organizations, non-governmental organizations, universities, research institutions, and industry. A generous feed-in tariff (FIT) of US$93.5/MWh for new projects, together with supporting policies such as tax exemptions, are found to be the key proximate drivers of Vietnam's solar PV boom. Underlying drivers include the government's desire to enhance energy self-sufficiency and the public's demand for local environmental quality. Limited transmission grid capacity and complex administrative procedures are among the key barriers. Looking forward, Vietnam has substantial potential to continue to scale up solar PV, with market-based mechanisms able to play a large role in this process. Vietnam's case is relevant for broader energy transition discussions. © 2020 Elsevier Ltd","container-title":"Energy Policy","DOI":"10.1016/j.enpol.2020.111561","title":"Underlying drivers and barriers for solar photovoltaics diffusion: The case of Vietnam","URL":"https://www.scopus.com/inward/record.uri?eid=2-s2.0-85086850570&amp;doi=10.1016%2fj.enpol.2020.111561&amp;partnerID=40&amp;md5=110bad37a77d7d55ac0b2d6cc5af48f7","volume":"144","author":[{"family":"Do","given":"T. N."},{"family":"Burke","given":"P. J."},{"family":"Baldwin","given":"K. G. H."},{"family":"Nguyen","given":"C. T."}],"issued":{"date-parts":[["2020"]]}}}],"schema":"https://github.com/citation-style-language/schema/raw/master/csl-citation.json"} </w:instrText>
            </w:r>
            <w:r>
              <w:rPr>
                <w:rFonts w:cs="Times New Roman"/>
                <w:szCs w:val="20"/>
              </w:rPr>
              <w:fldChar w:fldCharType="separate"/>
            </w:r>
            <w:r>
              <w:rPr>
                <w:rFonts w:cs="Times New Roman"/>
                <w:szCs w:val="20"/>
              </w:rPr>
              <w:t>(T. N. Do et al. 2020)</w:t>
            </w:r>
            <w:r>
              <w:rPr>
                <w:rFonts w:cs="Times New Roman"/>
                <w:szCs w:val="20"/>
              </w:rPr>
              <w:fldChar w:fldCharType="end"/>
            </w:r>
          </w:p>
        </w:tc>
        <w:tc>
          <w:tcPr>
            <w:tcW w:w="0" w:type="auto"/>
          </w:tcPr>
          <w:sdt>
            <w:sdtPr>
              <w:rPr>
                <w:rFonts w:cs="Times New Roman"/>
                <w:szCs w:val="20"/>
              </w:rPr>
              <w:tag w:val="goog_rdk_356"/>
              <w:id w:val="298832831"/>
            </w:sdtPr>
            <w:sdtContent>
              <w:p w14:paraId="3B21AB41"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353"/>
                    <w:id w:val="544338503"/>
                  </w:sdtPr>
                  <w:sdtContent>
                    <w:sdt>
                      <w:sdtPr>
                        <w:rPr>
                          <w:rFonts w:cs="Times New Roman"/>
                          <w:szCs w:val="20"/>
                        </w:rPr>
                        <w:tag w:val="goog_rdk_354"/>
                        <w:id w:val="898247588"/>
                      </w:sdtPr>
                      <w:sdtContent>
                        <w:r w:rsidR="004B772A">
                          <w:rPr>
                            <w:rFonts w:eastAsia="Calibri" w:cs="Times New Roman"/>
                            <w:szCs w:val="20"/>
                          </w:rPr>
                          <w:t>14</w:t>
                        </w:r>
                      </w:sdtContent>
                    </w:sdt>
                    <w:sdt>
                      <w:sdtPr>
                        <w:rPr>
                          <w:rFonts w:cs="Times New Roman"/>
                          <w:szCs w:val="20"/>
                        </w:rPr>
                        <w:tag w:val="goog_rdk_355"/>
                        <w:id w:val="437469664"/>
                        <w:showingPlcHdr/>
                      </w:sdtPr>
                      <w:sdtContent>
                        <w:r w:rsidR="004B772A">
                          <w:t>    </w:t>
                        </w:r>
                      </w:sdtContent>
                    </w:sdt>
                  </w:sdtContent>
                </w:sdt>
              </w:p>
            </w:sdtContent>
          </w:sdt>
        </w:tc>
        <w:tc>
          <w:tcPr>
            <w:tcW w:w="0" w:type="auto"/>
          </w:tcPr>
          <w:sdt>
            <w:sdtPr>
              <w:rPr>
                <w:rFonts w:cs="Times New Roman"/>
                <w:szCs w:val="20"/>
              </w:rPr>
              <w:tag w:val="goog_rdk_360"/>
              <w:id w:val="1146243061"/>
            </w:sdtPr>
            <w:sdtContent>
              <w:p w14:paraId="15B3B75B"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357"/>
                    <w:id w:val="-2038859503"/>
                  </w:sdtPr>
                  <w:sdtContent>
                    <w:sdt>
                      <w:sdtPr>
                        <w:rPr>
                          <w:rFonts w:cs="Times New Roman"/>
                          <w:szCs w:val="20"/>
                        </w:rPr>
                        <w:tag w:val="goog_rdk_358"/>
                        <w:id w:val="1549372773"/>
                      </w:sdtPr>
                      <w:sdtContent>
                        <w:r w:rsidR="004B772A">
                          <w:rPr>
                            <w:rFonts w:eastAsia="Calibri" w:cs="Times New Roman"/>
                            <w:szCs w:val="20"/>
                          </w:rPr>
                          <w:t>Planners</w:t>
                        </w:r>
                      </w:sdtContent>
                    </w:sdt>
                    <w:sdt>
                      <w:sdtPr>
                        <w:rPr>
                          <w:rFonts w:cs="Times New Roman"/>
                          <w:szCs w:val="20"/>
                        </w:rPr>
                        <w:tag w:val="goog_rdk_359"/>
                        <w:id w:val="955126645"/>
                        <w:showingPlcHdr/>
                      </w:sdtPr>
                      <w:sdtContent>
                        <w:r w:rsidR="004B772A">
                          <w:t>    </w:t>
                        </w:r>
                      </w:sdtContent>
                    </w:sdt>
                  </w:sdtContent>
                </w:sdt>
              </w:p>
            </w:sdtContent>
          </w:sdt>
        </w:tc>
        <w:tc>
          <w:tcPr>
            <w:tcW w:w="0" w:type="auto"/>
          </w:tcPr>
          <w:p w14:paraId="2A8DD043"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1D7B68A4"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Vietnam</w:t>
            </w:r>
          </w:p>
        </w:tc>
        <w:tc>
          <w:tcPr>
            <w:tcW w:w="0" w:type="auto"/>
          </w:tcPr>
          <w:p w14:paraId="226A2E4D"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w:t>
            </w:r>
          </w:p>
        </w:tc>
      </w:tr>
      <w:tr w:rsidR="000055AD" w14:paraId="2CA25DED"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A5C3146"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{"citationID":"SeNICKX1","properties":{"formattedCitation":"(Eberhard and K\\uc0\\u229{}berger 2016)","plainCitation":"(Eberhard and Kåberger 2016)","noteIndex":0},"citationItems":[{"id":63489,"uris":["http://zotero.org/groups/52011/items/43DT4SN3"],"itemData":{"id":63489,"type":"article-journal","container-title":"Energy Science &amp;amp; Engineering","DOI":"10.1002/ese3.118","ISSN":"2050-0505","issue":"3","note":"publisher: Wiley","page":"190–193","title":"Renewable energy auctions in South Africa outshine feed‐in tariffs","volume":"4","author":[{"family":"Eberhard","given":"Anton"},{"family":"Kåberger","given":"Tomas"}],"issued":{"date-parts":[["2016",4]]}}}],"schema":"https://github.com/citation-style-language/schema/raw/master/csl-citation.json"} </w:instrText>
            </w:r>
            <w:r>
              <w:rPr>
                <w:rFonts w:cs="Times New Roman"/>
                <w:szCs w:val="20"/>
              </w:rPr>
              <w:fldChar w:fldCharType="separate"/>
            </w:r>
            <w:r>
              <w:rPr>
                <w:rFonts w:cs="Times New Roman"/>
                <w:szCs w:val="20"/>
              </w:rPr>
              <w:t>(Eberhard and Kåberger 2016)</w:t>
            </w:r>
            <w:r>
              <w:rPr>
                <w:rFonts w:cs="Times New Roman"/>
                <w:szCs w:val="20"/>
              </w:rPr>
              <w:fldChar w:fldCharType="end"/>
            </w:r>
          </w:p>
        </w:tc>
        <w:tc>
          <w:tcPr>
            <w:tcW w:w="0" w:type="auto"/>
          </w:tcPr>
          <w:sdt>
            <w:sdtPr>
              <w:rPr>
                <w:rFonts w:cs="Times New Roman"/>
                <w:szCs w:val="20"/>
              </w:rPr>
              <w:tag w:val="goog_rdk_380"/>
              <w:id w:val="185487459"/>
            </w:sdtPr>
            <w:sdtContent>
              <w:p w14:paraId="4DDB1B6D"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377"/>
                    <w:id w:val="-750809582"/>
                  </w:sdtPr>
                  <w:sdtContent>
                    <w:sdt>
                      <w:sdtPr>
                        <w:rPr>
                          <w:rFonts w:cs="Times New Roman"/>
                          <w:szCs w:val="20"/>
                        </w:rPr>
                        <w:tag w:val="goog_rdk_378"/>
                        <w:id w:val="1986647657"/>
                      </w:sdtPr>
                      <w:sdtContent>
                        <w:r w:rsidR="004B772A">
                          <w:rPr>
                            <w:rFonts w:eastAsia="Calibri" w:cs="Times New Roman"/>
                            <w:szCs w:val="20"/>
                          </w:rPr>
                          <w:t>15</w:t>
                        </w:r>
                      </w:sdtContent>
                    </w:sdt>
                    <w:sdt>
                      <w:sdtPr>
                        <w:rPr>
                          <w:rFonts w:cs="Times New Roman"/>
                          <w:szCs w:val="20"/>
                        </w:rPr>
                        <w:tag w:val="goog_rdk_379"/>
                        <w:id w:val="-1048827438"/>
                        <w:showingPlcHdr/>
                      </w:sdtPr>
                      <w:sdtContent>
                        <w:r w:rsidR="004B772A">
                          <w:t>    </w:t>
                        </w:r>
                      </w:sdtContent>
                    </w:sdt>
                  </w:sdtContent>
                </w:sdt>
              </w:p>
            </w:sdtContent>
          </w:sdt>
        </w:tc>
        <w:tc>
          <w:tcPr>
            <w:tcW w:w="0" w:type="auto"/>
          </w:tcPr>
          <w:sdt>
            <w:sdtPr>
              <w:rPr>
                <w:rFonts w:cs="Times New Roman"/>
                <w:szCs w:val="20"/>
              </w:rPr>
              <w:tag w:val="goog_rdk_384"/>
              <w:id w:val="423159419"/>
            </w:sdtPr>
            <w:sdtContent>
              <w:p w14:paraId="69B80BFF"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381"/>
                    <w:id w:val="-1217016458"/>
                  </w:sdtPr>
                  <w:sdtContent>
                    <w:sdt>
                      <w:sdtPr>
                        <w:rPr>
                          <w:rFonts w:cs="Times New Roman"/>
                          <w:szCs w:val="20"/>
                        </w:rPr>
                        <w:tag w:val="goog_rdk_382"/>
                        <w:id w:val="-1034549680"/>
                      </w:sdtPr>
                      <w:sdtContent>
                        <w:r w:rsidR="004B772A">
                          <w:rPr>
                            <w:rFonts w:eastAsia="Calibri" w:cs="Times New Roman"/>
                            <w:szCs w:val="20"/>
                          </w:rPr>
                          <w:t>Adaptive Pragmatists</w:t>
                        </w:r>
                      </w:sdtContent>
                    </w:sdt>
                    <w:sdt>
                      <w:sdtPr>
                        <w:rPr>
                          <w:rFonts w:cs="Times New Roman"/>
                          <w:szCs w:val="20"/>
                        </w:rPr>
                        <w:tag w:val="goog_rdk_383"/>
                        <w:id w:val="-855823358"/>
                        <w:showingPlcHdr/>
                      </w:sdtPr>
                      <w:sdtContent>
                        <w:r w:rsidR="004B772A">
                          <w:t>    </w:t>
                        </w:r>
                      </w:sdtContent>
                    </w:sdt>
                  </w:sdtContent>
                </w:sdt>
              </w:p>
            </w:sdtContent>
          </w:sdt>
        </w:tc>
        <w:tc>
          <w:tcPr>
            <w:tcW w:w="0" w:type="auto"/>
          </w:tcPr>
          <w:p w14:paraId="54B128F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2B7CE106"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South Africa</w:t>
            </w:r>
          </w:p>
        </w:tc>
        <w:tc>
          <w:tcPr>
            <w:tcW w:w="0" w:type="auto"/>
          </w:tcPr>
          <w:p w14:paraId="70D1687C"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renewables</w:t>
            </w:r>
          </w:p>
        </w:tc>
      </w:tr>
      <w:tr w:rsidR="000055AD" w14:paraId="3223A6FB"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6BFA10C1" w14:textId="77777777" w:rsidR="000055AD" w:rsidRDefault="004B772A">
            <w:pPr>
              <w:jc w:val="left"/>
              <w:rPr>
                <w:rFonts w:cs="Times New Roman"/>
                <w:szCs w:val="20"/>
              </w:rPr>
            </w:pPr>
            <w:r>
              <w:rPr>
                <w:rFonts w:cs="Times New Roman"/>
                <w:szCs w:val="20"/>
              </w:rPr>
              <w:lastRenderedPageBreak/>
              <w:fldChar w:fldCharType="begin"/>
            </w:r>
            <w:r>
              <w:rPr>
                <w:rFonts w:cs="Times New Roman"/>
                <w:szCs w:val="20"/>
              </w:rPr>
              <w:instrText xml:space="preserve"> ADDIN ZOTERO_ITEM CSL_CITATION {"citationID":"le6k3cNv","properties":{"formattedCitation":"(Flores-Fern\\uc0\\u225{}ndez 2020)","plainCitation":"(Flores-Fernández 2020)","noteIndex":0},"citationItems":[{"id":43171,"uris":["http://zotero.org/groups/52011/items/DDWF5DAQ"],"itemData":{"id":43171,"type":"article-journal","abstract":"The Chilean energy transition has been internationally recognized as a case of successful public policy in the promotion of renewable energies, even being defined as an “energy revolution”. However, a preliminary analysis of the process allow us to sustain that the incorporation of non-conventional renewable sources to the energy matrix has not modified the technocratic model ofmarket-based management, the ownership structure of the projects, nor has it implied an advance towards democratic and decentralized energy systems that promote local development and the effective participation of communities in energy decision-making. It is concluded that the socio-technical process of the Chilean energy transition has given rise to a post-political energy condition, and that behind the technological success and consensus around the transition there is a perpetuation of power relations and structures of capitalist appropriation and management of energy resources. © 2020, © 2020 The Author(s). Published by Informa UK Limited, trading as Taylor &amp; Francis Group.","container-title":"Innovation: The European Journal of Social Science Research","DOI":"10.1080/13511610.2020.1749836","issue":"2","page":"173-193","title":"The Chilean energy “transition”: between successful policy and the assimilation of a post-political energy condition","volume":"33","author":[{"family":"Flores-Fernández","given":"C."}],"issued":{"date-parts":[["2020"]]}}}],"schema":"https://github.com/citation-style-language/schema/raw/master/csl-citation.json"} </w:instrText>
            </w:r>
            <w:r>
              <w:rPr>
                <w:rFonts w:cs="Times New Roman"/>
                <w:szCs w:val="20"/>
              </w:rPr>
              <w:fldChar w:fldCharType="separate"/>
            </w:r>
            <w:r>
              <w:rPr>
                <w:rFonts w:cs="Times New Roman"/>
                <w:szCs w:val="20"/>
              </w:rPr>
              <w:t>(Flores-Fernández 2020)</w:t>
            </w:r>
            <w:r>
              <w:rPr>
                <w:rFonts w:cs="Times New Roman"/>
                <w:szCs w:val="20"/>
              </w:rPr>
              <w:fldChar w:fldCharType="end"/>
            </w:r>
          </w:p>
        </w:tc>
        <w:tc>
          <w:tcPr>
            <w:tcW w:w="0" w:type="auto"/>
          </w:tcPr>
          <w:sdt>
            <w:sdtPr>
              <w:rPr>
                <w:rFonts w:cs="Times New Roman"/>
                <w:szCs w:val="20"/>
              </w:rPr>
              <w:tag w:val="goog_rdk_404"/>
              <w:id w:val="87981992"/>
            </w:sdtPr>
            <w:sdtContent>
              <w:p w14:paraId="7361BD23"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401"/>
                    <w:id w:val="-1982728831"/>
                  </w:sdtPr>
                  <w:sdtContent>
                    <w:sdt>
                      <w:sdtPr>
                        <w:rPr>
                          <w:rFonts w:cs="Times New Roman"/>
                          <w:szCs w:val="20"/>
                        </w:rPr>
                        <w:tag w:val="goog_rdk_402"/>
                        <w:id w:val="-1317964816"/>
                      </w:sdtPr>
                      <w:sdtContent>
                        <w:r w:rsidR="004B772A">
                          <w:rPr>
                            <w:rFonts w:eastAsia="Calibri" w:cs="Times New Roman"/>
                            <w:szCs w:val="20"/>
                          </w:rPr>
                          <w:t>16</w:t>
                        </w:r>
                      </w:sdtContent>
                    </w:sdt>
                    <w:sdt>
                      <w:sdtPr>
                        <w:rPr>
                          <w:rFonts w:cs="Times New Roman"/>
                          <w:szCs w:val="20"/>
                        </w:rPr>
                        <w:tag w:val="goog_rdk_403"/>
                        <w:id w:val="-852692369"/>
                        <w:showingPlcHdr/>
                      </w:sdtPr>
                      <w:sdtContent>
                        <w:r w:rsidR="004B772A">
                          <w:t>    </w:t>
                        </w:r>
                      </w:sdtContent>
                    </w:sdt>
                  </w:sdtContent>
                </w:sdt>
              </w:p>
            </w:sdtContent>
          </w:sdt>
        </w:tc>
        <w:tc>
          <w:tcPr>
            <w:tcW w:w="0" w:type="auto"/>
          </w:tcPr>
          <w:sdt>
            <w:sdtPr>
              <w:rPr>
                <w:rFonts w:cs="Times New Roman"/>
                <w:szCs w:val="20"/>
              </w:rPr>
              <w:tag w:val="goog_rdk_408"/>
              <w:id w:val="-747823054"/>
            </w:sdtPr>
            <w:sdtContent>
              <w:p w14:paraId="07A1DFD4"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405"/>
                    <w:id w:val="-467190391"/>
                  </w:sdtPr>
                  <w:sdtContent>
                    <w:sdt>
                      <w:sdtPr>
                        <w:rPr>
                          <w:rFonts w:cs="Times New Roman"/>
                          <w:szCs w:val="20"/>
                        </w:rPr>
                        <w:tag w:val="goog_rdk_406"/>
                        <w:id w:val="70810402"/>
                      </w:sdtPr>
                      <w:sdtContent>
                        <w:r w:rsidR="004B772A">
                          <w:rPr>
                            <w:rFonts w:eastAsia="Calibri" w:cs="Times New Roman"/>
                            <w:szCs w:val="20"/>
                          </w:rPr>
                          <w:t>Strategists</w:t>
                        </w:r>
                      </w:sdtContent>
                    </w:sdt>
                    <w:sdt>
                      <w:sdtPr>
                        <w:rPr>
                          <w:rFonts w:cs="Times New Roman"/>
                          <w:szCs w:val="20"/>
                        </w:rPr>
                        <w:tag w:val="goog_rdk_407"/>
                        <w:id w:val="853198297"/>
                        <w:showingPlcHdr/>
                      </w:sdtPr>
                      <w:sdtContent>
                        <w:r w:rsidR="004B772A">
                          <w:t>    </w:t>
                        </w:r>
                      </w:sdtContent>
                    </w:sdt>
                  </w:sdtContent>
                </w:sdt>
              </w:p>
            </w:sdtContent>
          </w:sdt>
        </w:tc>
        <w:tc>
          <w:tcPr>
            <w:tcW w:w="0" w:type="auto"/>
          </w:tcPr>
          <w:p w14:paraId="6814821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75CF5710"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Chile </w:t>
            </w:r>
          </w:p>
        </w:tc>
        <w:tc>
          <w:tcPr>
            <w:tcW w:w="0" w:type="auto"/>
          </w:tcPr>
          <w:p w14:paraId="2E4BEF2F"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 wind</w:t>
            </w:r>
          </w:p>
        </w:tc>
      </w:tr>
      <w:tr w:rsidR="000055AD" w14:paraId="663CAD48"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CC9BAE9"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{"citationID":"ne6anNjk","properties":{"formattedCitation":"(Furnaro 2023)","plainCitation":"(Furnaro 2023)","noteIndex":0},"citationItems":[{"id":39277,"uris":["http://zotero.org/groups/52011/items/AFPFRBFR"],"itemData":{"id":39277,"type":"article-journal","abstract":"This paper contributes to the political economy of low-carbon energy transitions by highlighting the importance of capital and coal devaluation in the destabilisation of incumbent energy regimes, which has been understudied by the energy transitions in social sciences literature. Empirically, it examines Germany’s coal exit plan, the world’s largest in terms of power capacity. By putting theories of capital devaluation into conversation with regulation theory, this study reveals the continuities between Germany’s exit plan and its long tradition of delaying the devaluation of coal. This paper engages with relational political-economic approaches to analyse the German coal exit plan beyond the dualistic market vs policy-based interpretation, which has been promoted by the coal industry to capture compensation payments. Rather, it will be argued that this plan, which in its current form is based on generous financial compensations to coal companies, can be understood as a way to regulate the ongoing devaluation affecting the energy industry and manage a dual legitimation crisis affecting the federal government. © 2022 Informa UK Limited, trading as Taylor &amp; Francis Group.","archive":"Scopus","container-title":"New Political Economy","DOI":"10.1080/13563467.2022.2084523","issue":"2","page":"190-205","title":"The last subsidy: regulating devaluation in the German coal phase-out","volume":"28","author":[{"family":"Furnaro","given":"A."}],"issued":{"date-parts":[["2023"]]}}}],"schema":"https://github.com/citation-style-language/schema/raw/master/csl-citation.json"} </w:instrText>
            </w:r>
            <w:r>
              <w:rPr>
                <w:rFonts w:cs="Times New Roman"/>
                <w:szCs w:val="20"/>
              </w:rPr>
              <w:fldChar w:fldCharType="separate"/>
            </w:r>
            <w:r>
              <w:rPr>
                <w:rFonts w:cs="Times New Roman"/>
                <w:szCs w:val="20"/>
              </w:rPr>
              <w:t>(Furnaro 2023)</w:t>
            </w:r>
            <w:r>
              <w:rPr>
                <w:rFonts w:cs="Times New Roman"/>
                <w:szCs w:val="20"/>
              </w:rPr>
              <w:fldChar w:fldCharType="end"/>
            </w:r>
          </w:p>
        </w:tc>
        <w:tc>
          <w:tcPr>
            <w:tcW w:w="0" w:type="auto"/>
          </w:tcPr>
          <w:sdt>
            <w:sdtPr>
              <w:rPr>
                <w:rFonts w:cs="Times New Roman"/>
                <w:szCs w:val="20"/>
              </w:rPr>
              <w:tag w:val="goog_rdk_428"/>
              <w:id w:val="1538934269"/>
            </w:sdtPr>
            <w:sdtContent>
              <w:p w14:paraId="02143A51"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425"/>
                    <w:id w:val="163465337"/>
                  </w:sdtPr>
                  <w:sdtContent>
                    <w:sdt>
                      <w:sdtPr>
                        <w:rPr>
                          <w:rFonts w:cs="Times New Roman"/>
                          <w:szCs w:val="20"/>
                        </w:rPr>
                        <w:tag w:val="goog_rdk_426"/>
                        <w:id w:val="107773698"/>
                      </w:sdtPr>
                      <w:sdtContent>
                        <w:r w:rsidR="004B772A">
                          <w:rPr>
                            <w:rFonts w:eastAsia="Calibri" w:cs="Times New Roman"/>
                            <w:szCs w:val="20"/>
                          </w:rPr>
                          <w:t>17</w:t>
                        </w:r>
                      </w:sdtContent>
                    </w:sdt>
                    <w:sdt>
                      <w:sdtPr>
                        <w:rPr>
                          <w:rFonts w:cs="Times New Roman"/>
                          <w:szCs w:val="20"/>
                        </w:rPr>
                        <w:tag w:val="goog_rdk_427"/>
                        <w:id w:val="1578103177"/>
                        <w:showingPlcHdr/>
                      </w:sdtPr>
                      <w:sdtContent>
                        <w:r w:rsidR="004B772A">
                          <w:t>    </w:t>
                        </w:r>
                      </w:sdtContent>
                    </w:sdt>
                  </w:sdtContent>
                </w:sdt>
              </w:p>
            </w:sdtContent>
          </w:sdt>
        </w:tc>
        <w:tc>
          <w:tcPr>
            <w:tcW w:w="0" w:type="auto"/>
          </w:tcPr>
          <w:sdt>
            <w:sdtPr>
              <w:rPr>
                <w:rFonts w:cs="Times New Roman"/>
                <w:szCs w:val="20"/>
              </w:rPr>
              <w:tag w:val="goog_rdk_432"/>
              <w:id w:val="-1356098829"/>
            </w:sdtPr>
            <w:sdtContent>
              <w:p w14:paraId="5D0DD558"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429"/>
                    <w:id w:val="204754995"/>
                  </w:sdtPr>
                  <w:sdtContent>
                    <w:sdt>
                      <w:sdtPr>
                        <w:rPr>
                          <w:rFonts w:cs="Times New Roman"/>
                          <w:szCs w:val="20"/>
                        </w:rPr>
                        <w:tag w:val="goog_rdk_430"/>
                        <w:id w:val="-688384631"/>
                      </w:sdtPr>
                      <w:sdtContent>
                        <w:r w:rsidR="004B772A">
                          <w:rPr>
                            <w:rFonts w:eastAsia="Calibri" w:cs="Times New Roman"/>
                            <w:szCs w:val="20"/>
                          </w:rPr>
                          <w:t>Coal Dependent &amp; Climate Leaders</w:t>
                        </w:r>
                      </w:sdtContent>
                    </w:sdt>
                    <w:sdt>
                      <w:sdtPr>
                        <w:rPr>
                          <w:rFonts w:cs="Times New Roman"/>
                          <w:szCs w:val="20"/>
                        </w:rPr>
                        <w:tag w:val="goog_rdk_431"/>
                        <w:id w:val="-844152386"/>
                        <w:showingPlcHdr/>
                      </w:sdtPr>
                      <w:sdtContent>
                        <w:r w:rsidR="004B772A">
                          <w:t>    </w:t>
                        </w:r>
                      </w:sdtContent>
                    </w:sdt>
                  </w:sdtContent>
                </w:sdt>
              </w:p>
            </w:sdtContent>
          </w:sdt>
        </w:tc>
        <w:tc>
          <w:tcPr>
            <w:tcW w:w="0" w:type="auto"/>
          </w:tcPr>
          <w:p w14:paraId="76BE7958"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044216CA"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Germany</w:t>
            </w:r>
          </w:p>
        </w:tc>
        <w:tc>
          <w:tcPr>
            <w:tcW w:w="0" w:type="auto"/>
          </w:tcPr>
          <w:p w14:paraId="7670F38F"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coal</w:t>
            </w:r>
          </w:p>
        </w:tc>
      </w:tr>
      <w:tr w:rsidR="000055AD" w14:paraId="780DA623"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40D09892"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{"citationID":"sq9PUK2k","properties":{"formattedCitation":"(Gaffney, Deane, and Gallach\\uc0\\u243{}ir 2017)","plainCitation":"(Gaffney, Deane, and Gallachóir 2017)","noteIndex":0},"citationItems":[{"id":43338,"uris":["http://zotero.org/groups/52011/items/L8P8339Q"],"itemData":{"id":43338,"type":"article-journal","abstract":"Over the past century, Ireland's electricity sector has undergone a significant transformation. This paper documents the nation's struggle to build an electricity system, to improve security of electricity supply through portfolio diversification and to promote indigenous energy sources. This was a challenge for an (electrically) isolated island with little natural resources. The paper also identifies the ineffective policy decisions that left Ireland exposed to the 1970s energy crises. The crises did, however, provide a clear impetus for focusing Irish energy policy going forward. The successful deployment and integration of large-scale wind power was due to strong national and supranational policy decisions. In 2015, Ireland had the third highest wind energy share of national electricity demand (22.8%) of all IEA Wind Member Countries. The paper also traces Ireland's transition through market reform, regional fragmentation, and looks onwards to the EU internal market for electricity. In essence, this paper provides a holistic view of the implications of various policy decisions on the electricity sector along with the stresses of external factors on the electricity market and should be useful for policy makers elsewhere faced with similar decisions. © 2017 Elsevier Ltd","container-title":"Energy Policy","DOI":"10.1016/j.enpol.2017.02.028","page":"67-79","title":"A 100 year review of electricity policy in Ireland (1916–2015)","volume":"105","author":[{"family":"Gaffney","given":"F."},{"family":"Deane","given":"J. P."},{"family":"Gallachóir","given":"B. P. Ó."}],"issued":{"date-parts":[["2017"]]}}}],"schema":"https://github.com/citation-style-language/schema/raw/master/csl-citation.json"} </w:instrText>
            </w:r>
            <w:r>
              <w:rPr>
                <w:rFonts w:cs="Times New Roman"/>
                <w:szCs w:val="20"/>
              </w:rPr>
              <w:fldChar w:fldCharType="separate"/>
            </w:r>
            <w:r>
              <w:rPr>
                <w:rFonts w:cs="Times New Roman"/>
                <w:szCs w:val="20"/>
              </w:rPr>
              <w:t>(Gaffney, Deane, and Gallachóir 2017)</w:t>
            </w:r>
            <w:r>
              <w:rPr>
                <w:rFonts w:cs="Times New Roman"/>
                <w:szCs w:val="20"/>
              </w:rPr>
              <w:fldChar w:fldCharType="end"/>
            </w:r>
          </w:p>
        </w:tc>
        <w:tc>
          <w:tcPr>
            <w:tcW w:w="0" w:type="auto"/>
          </w:tcPr>
          <w:sdt>
            <w:sdtPr>
              <w:rPr>
                <w:rFonts w:cs="Times New Roman"/>
                <w:szCs w:val="20"/>
              </w:rPr>
              <w:tag w:val="goog_rdk_452"/>
              <w:id w:val="1867220094"/>
            </w:sdtPr>
            <w:sdtContent>
              <w:p w14:paraId="1D79E4B8"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449"/>
                    <w:id w:val="-1387779615"/>
                  </w:sdtPr>
                  <w:sdtContent>
                    <w:sdt>
                      <w:sdtPr>
                        <w:rPr>
                          <w:rFonts w:cs="Times New Roman"/>
                          <w:szCs w:val="20"/>
                        </w:rPr>
                        <w:tag w:val="goog_rdk_450"/>
                        <w:id w:val="-525419751"/>
                      </w:sdtPr>
                      <w:sdtContent>
                        <w:r w:rsidR="004B772A">
                          <w:rPr>
                            <w:rFonts w:eastAsia="Calibri" w:cs="Times New Roman"/>
                            <w:szCs w:val="20"/>
                          </w:rPr>
                          <w:t>18</w:t>
                        </w:r>
                      </w:sdtContent>
                    </w:sdt>
                    <w:sdt>
                      <w:sdtPr>
                        <w:rPr>
                          <w:rFonts w:cs="Times New Roman"/>
                          <w:szCs w:val="20"/>
                        </w:rPr>
                        <w:tag w:val="goog_rdk_451"/>
                        <w:id w:val="-334098784"/>
                        <w:showingPlcHdr/>
                      </w:sdtPr>
                      <w:sdtContent>
                        <w:r w:rsidR="004B772A">
                          <w:t>    </w:t>
                        </w:r>
                      </w:sdtContent>
                    </w:sdt>
                  </w:sdtContent>
                </w:sdt>
              </w:p>
            </w:sdtContent>
          </w:sdt>
        </w:tc>
        <w:tc>
          <w:tcPr>
            <w:tcW w:w="0" w:type="auto"/>
          </w:tcPr>
          <w:sdt>
            <w:sdtPr>
              <w:rPr>
                <w:rFonts w:cs="Times New Roman"/>
                <w:szCs w:val="20"/>
              </w:rPr>
              <w:tag w:val="goog_rdk_456"/>
              <w:id w:val="474977483"/>
            </w:sdtPr>
            <w:sdtContent>
              <w:p w14:paraId="68482BDA"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453"/>
                    <w:id w:val="1157812289"/>
                  </w:sdtPr>
                  <w:sdtContent>
                    <w:sdt>
                      <w:sdtPr>
                        <w:rPr>
                          <w:rFonts w:cs="Times New Roman"/>
                          <w:szCs w:val="20"/>
                        </w:rPr>
                        <w:tag w:val="goog_rdk_454"/>
                        <w:id w:val="-1398013340"/>
                      </w:sdtPr>
                      <w:sdtContent>
                        <w:r w:rsidR="004B772A">
                          <w:rPr>
                            <w:rFonts w:eastAsia="Calibri" w:cs="Times New Roman"/>
                            <w:szCs w:val="20"/>
                          </w:rPr>
                          <w:t>Strategists</w:t>
                        </w:r>
                      </w:sdtContent>
                    </w:sdt>
                    <w:sdt>
                      <w:sdtPr>
                        <w:rPr>
                          <w:rFonts w:cs="Times New Roman"/>
                          <w:szCs w:val="20"/>
                        </w:rPr>
                        <w:tag w:val="goog_rdk_455"/>
                        <w:id w:val="271995638"/>
                        <w:showingPlcHdr/>
                      </w:sdtPr>
                      <w:sdtContent>
                        <w:r w:rsidR="004B772A">
                          <w:t>    </w:t>
                        </w:r>
                      </w:sdtContent>
                    </w:sdt>
                  </w:sdtContent>
                </w:sdt>
              </w:p>
            </w:sdtContent>
          </w:sdt>
        </w:tc>
        <w:tc>
          <w:tcPr>
            <w:tcW w:w="0" w:type="auto"/>
          </w:tcPr>
          <w:p w14:paraId="33C72F33"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mixed methods </w:t>
            </w:r>
          </w:p>
        </w:tc>
        <w:tc>
          <w:tcPr>
            <w:tcW w:w="0" w:type="auto"/>
          </w:tcPr>
          <w:p w14:paraId="7B6A8BAB"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Ireland</w:t>
            </w:r>
          </w:p>
        </w:tc>
        <w:tc>
          <w:tcPr>
            <w:tcW w:w="0" w:type="auto"/>
          </w:tcPr>
          <w:p w14:paraId="417D1EA6"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wind</w:t>
            </w:r>
          </w:p>
        </w:tc>
      </w:tr>
      <w:tr w:rsidR="000055AD" w14:paraId="6CAC4B1A"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EAB72C5"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{"citationID":"3imBYYCU","properties":{"formattedCitation":"(Gao and Yuan 2020)","plainCitation":"(Gao and Yuan 2020)","noteIndex":0},"citationItems":[{"id":43404,"uris":["http://zotero.org/groups/52011/items/22WVDEXB"],"itemData":{"id":43404,"type":"article-journal","abstract":"An energy transition from fossil fuels to renewable energy is recognized as a critical way to achieve greenhouse gas mitigation goals. However, renewable energy deployment must be scaled up at least six times faster than its current pace to keep global warming below hazardous levels. The purpose of this study is to analyze the deployment process of solar photovoltaic technologies in China by applying a dynamic framework that integrates the political and socio-technical systems. We found that the status of deployment (e.g., scale and pace) is jointly shaped by political factors, socio-technical factors, and their interactions. We also found that the interactions between the two systems vary at different deployment stages. This study investigates the interdependencies between the two systems in the deployment process systematically. The complex systems raise significant challenges for policymakers who aim to achieve large-scale solar PV deployment. This study contributes to the literature by illustrating how policy learning alongside accelerating deployment can serve as a critical mechanism for overcoming deployment challenges in the face of complex system interactions. © 2020 Elsevier Ltd","container-title":"Energy Research and Social Science","DOI":"10.1016/j.erss.2020.101426","title":"Policymaking challenges in complex systems: The political and socio-technical dynamics of solar photovoltaic technology deployment in China","URL":"https://www.scopus.com/inward/record.uri?eid=2-s2.0-85078166658&amp;doi=10.1016%2fj.erss.2020.101426&amp;partnerID=40&amp;md5=94f07e1089fe4a0b46bde3a6c2eb061c","volume":"64","author":[{"family":"Gao","given":"X."},{"family":"Yuan","given":"J."}],"issued":{"date-parts":[["2020"]]}}}],"schema":"https://github.com/citation-style-language/schema/raw/master/csl-citation.json"} </w:instrText>
            </w:r>
            <w:r>
              <w:rPr>
                <w:rFonts w:cs="Times New Roman"/>
                <w:szCs w:val="20"/>
              </w:rPr>
              <w:fldChar w:fldCharType="separate"/>
            </w:r>
            <w:r>
              <w:rPr>
                <w:rFonts w:cs="Times New Roman"/>
                <w:szCs w:val="20"/>
              </w:rPr>
              <w:t>(Gao and Yuan 2020)</w:t>
            </w:r>
            <w:r>
              <w:rPr>
                <w:rFonts w:cs="Times New Roman"/>
                <w:szCs w:val="20"/>
              </w:rPr>
              <w:fldChar w:fldCharType="end"/>
            </w:r>
          </w:p>
        </w:tc>
        <w:tc>
          <w:tcPr>
            <w:tcW w:w="0" w:type="auto"/>
          </w:tcPr>
          <w:sdt>
            <w:sdtPr>
              <w:rPr>
                <w:rFonts w:cs="Times New Roman"/>
                <w:szCs w:val="20"/>
              </w:rPr>
              <w:tag w:val="goog_rdk_476"/>
              <w:id w:val="1798618791"/>
            </w:sdtPr>
            <w:sdtContent>
              <w:p w14:paraId="525EB254"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473"/>
                    <w:id w:val="1502362215"/>
                  </w:sdtPr>
                  <w:sdtContent>
                    <w:sdt>
                      <w:sdtPr>
                        <w:rPr>
                          <w:rFonts w:cs="Times New Roman"/>
                          <w:szCs w:val="20"/>
                        </w:rPr>
                        <w:tag w:val="goog_rdk_474"/>
                        <w:id w:val="362117357"/>
                      </w:sdtPr>
                      <w:sdtContent>
                        <w:r w:rsidR="004B772A">
                          <w:rPr>
                            <w:rFonts w:eastAsia="Calibri" w:cs="Times New Roman"/>
                            <w:szCs w:val="20"/>
                          </w:rPr>
                          <w:t>19</w:t>
                        </w:r>
                      </w:sdtContent>
                    </w:sdt>
                    <w:sdt>
                      <w:sdtPr>
                        <w:rPr>
                          <w:rFonts w:cs="Times New Roman"/>
                          <w:szCs w:val="20"/>
                        </w:rPr>
                        <w:tag w:val="goog_rdk_475"/>
                        <w:id w:val="-1796477537"/>
                        <w:showingPlcHdr/>
                      </w:sdtPr>
                      <w:sdtContent>
                        <w:r w:rsidR="004B772A">
                          <w:t>    </w:t>
                        </w:r>
                      </w:sdtContent>
                    </w:sdt>
                  </w:sdtContent>
                </w:sdt>
              </w:p>
            </w:sdtContent>
          </w:sdt>
        </w:tc>
        <w:tc>
          <w:tcPr>
            <w:tcW w:w="0" w:type="auto"/>
          </w:tcPr>
          <w:sdt>
            <w:sdtPr>
              <w:rPr>
                <w:rFonts w:cs="Times New Roman"/>
                <w:szCs w:val="20"/>
              </w:rPr>
              <w:tag w:val="goog_rdk_480"/>
              <w:id w:val="-1016207173"/>
            </w:sdtPr>
            <w:sdtContent>
              <w:p w14:paraId="15EC144A"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477"/>
                    <w:id w:val="1203368598"/>
                  </w:sdtPr>
                  <w:sdtContent>
                    <w:sdt>
                      <w:sdtPr>
                        <w:rPr>
                          <w:rFonts w:cs="Times New Roman"/>
                          <w:szCs w:val="20"/>
                        </w:rPr>
                        <w:tag w:val="goog_rdk_478"/>
                        <w:id w:val="609902656"/>
                      </w:sdtPr>
                      <w:sdtContent>
                        <w:r w:rsidR="004B772A">
                          <w:rPr>
                            <w:rFonts w:eastAsia="Calibri" w:cs="Times New Roman"/>
                            <w:szCs w:val="20"/>
                          </w:rPr>
                          <w:t>Planners</w:t>
                        </w:r>
                      </w:sdtContent>
                    </w:sdt>
                    <w:sdt>
                      <w:sdtPr>
                        <w:rPr>
                          <w:rFonts w:cs="Times New Roman"/>
                          <w:szCs w:val="20"/>
                        </w:rPr>
                        <w:tag w:val="goog_rdk_479"/>
                        <w:id w:val="-551569753"/>
                        <w:showingPlcHdr/>
                      </w:sdtPr>
                      <w:sdtContent>
                        <w:r w:rsidR="004B772A">
                          <w:t>    </w:t>
                        </w:r>
                      </w:sdtContent>
                    </w:sdt>
                  </w:sdtContent>
                </w:sdt>
              </w:p>
            </w:sdtContent>
          </w:sdt>
        </w:tc>
        <w:tc>
          <w:tcPr>
            <w:tcW w:w="0" w:type="auto"/>
          </w:tcPr>
          <w:p w14:paraId="1CD31135"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6847EC2D"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China</w:t>
            </w:r>
          </w:p>
        </w:tc>
        <w:tc>
          <w:tcPr>
            <w:tcW w:w="0" w:type="auto"/>
          </w:tcPr>
          <w:p w14:paraId="2A3C76F4"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w:t>
            </w:r>
          </w:p>
        </w:tc>
      </w:tr>
      <w:tr w:rsidR="000055AD" w14:paraId="6DED7401"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28CA03D5"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{"citationID":"f6ir8wKr","properties":{"formattedCitation":"(Garcia Padron 2016)","plainCitation":"(Garcia Padron 2016)","noteIndex":0},"citationItems":[{"id":43411,"uris":["http://zotero.org/groups/52011/items/IAUUESFQ"],"itemData":{"id":43411,"type":"article-journal","abstract":"The recent approval of a Clean Energy Certificates market in Mexico is part of the broad Energy Reform in the country since the end of 2013. Clean Energy Certificates create an incentive for new investment and a source of extra income for green energy producers in the electricity market. Mexico's scheme is based on similar Green Trade Certificates schemes, which promote investment in renewable energy by setting quotas on electricity producers and requiring certain electricity users to buy certificates. This article briefly looks at the early adopters, Sweden and later Norway, where a similar scheme has been implemented since 2003. The Nordic scheme, along with other policy measures, has proven effective in increasing the share of renewables. This article analyzes the Mexican Energy Reform's approach to renewable energy, and explains how Mexico can learn from its Swedish and Norwegian counterparts.","container-title":"Natural Resources Journal","issue":"2","page":"351-368","title":"THE MEXICAN ENERGY REFORM AND CLEAN ENERGY: LESSONS FROM THE SWEDISHNORWEGIAN SCHEME OF CLEAN ENERGY CERTIFICATES","volume":"56","author":[{"family":"Garcia Padron","given":"Juan Andres"}],"issued":{"date-parts":[["2016"]]}}}],"schema":"https://github.com/citation-style-language/schema/raw/master/csl-citation.json"} </w:instrText>
            </w:r>
            <w:r>
              <w:rPr>
                <w:rFonts w:cs="Times New Roman"/>
                <w:szCs w:val="20"/>
              </w:rPr>
              <w:fldChar w:fldCharType="separate"/>
            </w:r>
            <w:r>
              <w:rPr>
                <w:rFonts w:cs="Times New Roman"/>
                <w:szCs w:val="20"/>
              </w:rPr>
              <w:t>(Garcia Padron 2016)</w:t>
            </w:r>
            <w:r>
              <w:rPr>
                <w:rFonts w:cs="Times New Roman"/>
                <w:szCs w:val="20"/>
              </w:rPr>
              <w:fldChar w:fldCharType="end"/>
            </w:r>
          </w:p>
        </w:tc>
        <w:tc>
          <w:tcPr>
            <w:tcW w:w="0" w:type="auto"/>
          </w:tcPr>
          <w:sdt>
            <w:sdtPr>
              <w:rPr>
                <w:rFonts w:cs="Times New Roman"/>
                <w:szCs w:val="20"/>
              </w:rPr>
              <w:tag w:val="goog_rdk_500"/>
              <w:id w:val="1531306268"/>
            </w:sdtPr>
            <w:sdtContent>
              <w:p w14:paraId="6901BEB2"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497"/>
                    <w:id w:val="-1364643304"/>
                  </w:sdtPr>
                  <w:sdtContent>
                    <w:sdt>
                      <w:sdtPr>
                        <w:rPr>
                          <w:rFonts w:cs="Times New Roman"/>
                          <w:szCs w:val="20"/>
                        </w:rPr>
                        <w:tag w:val="goog_rdk_498"/>
                        <w:id w:val="994703125"/>
                      </w:sdtPr>
                      <w:sdtContent>
                        <w:r w:rsidR="004B772A">
                          <w:rPr>
                            <w:rFonts w:eastAsia="Calibri" w:cs="Times New Roman"/>
                            <w:szCs w:val="20"/>
                          </w:rPr>
                          <w:t>20</w:t>
                        </w:r>
                      </w:sdtContent>
                    </w:sdt>
                    <w:sdt>
                      <w:sdtPr>
                        <w:rPr>
                          <w:rFonts w:cs="Times New Roman"/>
                          <w:szCs w:val="20"/>
                        </w:rPr>
                        <w:tag w:val="goog_rdk_499"/>
                        <w:id w:val="-874009113"/>
                        <w:showingPlcHdr/>
                      </w:sdtPr>
                      <w:sdtContent>
                        <w:r w:rsidR="004B772A">
                          <w:t>    </w:t>
                        </w:r>
                      </w:sdtContent>
                    </w:sdt>
                  </w:sdtContent>
                </w:sdt>
              </w:p>
            </w:sdtContent>
          </w:sdt>
        </w:tc>
        <w:tc>
          <w:tcPr>
            <w:tcW w:w="0" w:type="auto"/>
          </w:tcPr>
          <w:sdt>
            <w:sdtPr>
              <w:rPr>
                <w:rFonts w:cs="Times New Roman"/>
                <w:szCs w:val="20"/>
              </w:rPr>
              <w:tag w:val="goog_rdk_504"/>
              <w:id w:val="-330947151"/>
            </w:sdtPr>
            <w:sdtContent>
              <w:p w14:paraId="02FD94F9"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501"/>
                    <w:id w:val="1588769369"/>
                  </w:sdtPr>
                  <w:sdtContent>
                    <w:sdt>
                      <w:sdtPr>
                        <w:rPr>
                          <w:rFonts w:cs="Times New Roman"/>
                          <w:szCs w:val="20"/>
                        </w:rPr>
                        <w:tag w:val="goog_rdk_502"/>
                        <w:id w:val="-1147565607"/>
                      </w:sdtPr>
                      <w:sdtContent>
                        <w:r w:rsidR="004B772A">
                          <w:rPr>
                            <w:rFonts w:eastAsia="Calibri" w:cs="Times New Roman"/>
                            <w:szCs w:val="20"/>
                          </w:rPr>
                          <w:t>Regional Autonomy</w:t>
                        </w:r>
                      </w:sdtContent>
                    </w:sdt>
                    <w:sdt>
                      <w:sdtPr>
                        <w:rPr>
                          <w:rFonts w:cs="Times New Roman"/>
                          <w:szCs w:val="20"/>
                        </w:rPr>
                        <w:tag w:val="goog_rdk_503"/>
                        <w:id w:val="-124793648"/>
                        <w:showingPlcHdr/>
                      </w:sdtPr>
                      <w:sdtContent>
                        <w:r w:rsidR="004B772A">
                          <w:t>    </w:t>
                        </w:r>
                      </w:sdtContent>
                    </w:sdt>
                  </w:sdtContent>
                </w:sdt>
              </w:p>
            </w:sdtContent>
          </w:sdt>
        </w:tc>
        <w:tc>
          <w:tcPr>
            <w:tcW w:w="0" w:type="auto"/>
          </w:tcPr>
          <w:p w14:paraId="5548D3EC"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65F6D8CE"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Sweden </w:t>
            </w:r>
          </w:p>
        </w:tc>
        <w:tc>
          <w:tcPr>
            <w:tcW w:w="0" w:type="auto"/>
          </w:tcPr>
          <w:p w14:paraId="49E84009"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renewables</w:t>
            </w:r>
          </w:p>
        </w:tc>
      </w:tr>
      <w:tr w:rsidR="000055AD" w14:paraId="6CC00EEA"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988494B"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{"citationID":"oUln87QY","properties":{"formattedCitation":"(Geddes, Schmidt, and Steffen 2018)","plainCitation":"(Geddes, Schmidt, and Steffen 2018)","noteIndex":0},"citationItems":[{"id":9858,"uris":["http://zotero.org/groups/52011/items/32AGF8J6"],"itemData":{"id":9858,"type":"article-journal","container-title":"Energy Policy","DOI":"10.1016/j.enpol.2018.01.009","ISSN":"03014215","journalAbbreviation":"Energy Policy","language":"en","page":"158-170","source":"DOI.org (Crossref)","title":"The multiple roles of state investment banks in low-carbon energy finance: An analysis of Australia, the UK and Germany","title-short":"The multiple roles of state investment banks in low-carbon energy finance","volume":"115","author":[{"family":"Geddes","given":"Anna"},{"family":"Schmidt","given":"Tobias S."},{"family":"Steffen","given":"Bjarne"}],"issued":{"date-parts":[["2018",4]]}}}],"schema":"https://github.com/citation-style-language/schema/raw/master/csl-citation.json"} </w:instrText>
            </w:r>
            <w:r>
              <w:rPr>
                <w:rFonts w:cs="Times New Roman"/>
                <w:szCs w:val="20"/>
              </w:rPr>
              <w:fldChar w:fldCharType="separate"/>
            </w:r>
            <w:r>
              <w:rPr>
                <w:rFonts w:cs="Times New Roman"/>
                <w:szCs w:val="20"/>
              </w:rPr>
              <w:t>(Geddes, Schmidt, and Steffen 2018)</w:t>
            </w:r>
            <w:r>
              <w:rPr>
                <w:rFonts w:cs="Times New Roman"/>
                <w:szCs w:val="20"/>
              </w:rPr>
              <w:fldChar w:fldCharType="end"/>
            </w:r>
          </w:p>
        </w:tc>
        <w:tc>
          <w:tcPr>
            <w:tcW w:w="0" w:type="auto"/>
          </w:tcPr>
          <w:sdt>
            <w:sdtPr>
              <w:rPr>
                <w:rFonts w:cs="Times New Roman"/>
                <w:szCs w:val="20"/>
              </w:rPr>
              <w:tag w:val="goog_rdk_524"/>
              <w:id w:val="-1642984822"/>
            </w:sdtPr>
            <w:sdtContent>
              <w:p w14:paraId="0C7090B3"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521"/>
                    <w:id w:val="1420905836"/>
                  </w:sdtPr>
                  <w:sdtContent>
                    <w:sdt>
                      <w:sdtPr>
                        <w:rPr>
                          <w:rFonts w:cs="Times New Roman"/>
                          <w:szCs w:val="20"/>
                        </w:rPr>
                        <w:tag w:val="goog_rdk_522"/>
                        <w:id w:val="1309905732"/>
                      </w:sdtPr>
                      <w:sdtContent>
                        <w:r w:rsidR="004B772A">
                          <w:rPr>
                            <w:rFonts w:eastAsia="Calibri" w:cs="Times New Roman"/>
                            <w:szCs w:val="20"/>
                          </w:rPr>
                          <w:t>21</w:t>
                        </w:r>
                      </w:sdtContent>
                    </w:sdt>
                    <w:sdt>
                      <w:sdtPr>
                        <w:rPr>
                          <w:rFonts w:cs="Times New Roman"/>
                          <w:szCs w:val="20"/>
                        </w:rPr>
                        <w:tag w:val="goog_rdk_523"/>
                        <w:id w:val="-1118071974"/>
                        <w:showingPlcHdr/>
                      </w:sdtPr>
                      <w:sdtContent>
                        <w:r w:rsidR="004B772A">
                          <w:t>    </w:t>
                        </w:r>
                      </w:sdtContent>
                    </w:sdt>
                  </w:sdtContent>
                </w:sdt>
              </w:p>
            </w:sdtContent>
          </w:sdt>
        </w:tc>
        <w:tc>
          <w:tcPr>
            <w:tcW w:w="0" w:type="auto"/>
          </w:tcPr>
          <w:sdt>
            <w:sdtPr>
              <w:rPr>
                <w:rFonts w:cs="Times New Roman"/>
                <w:szCs w:val="20"/>
              </w:rPr>
              <w:tag w:val="goog_rdk_527"/>
              <w:id w:val="164768625"/>
            </w:sdtPr>
            <w:sdtContent>
              <w:p w14:paraId="556BDD52" w14:textId="77777777" w:rsidR="000055AD" w:rsidRDefault="00000000">
                <w:pPr>
                  <w:cnfStyle w:val="000000100000" w:firstRow="0" w:lastRow="0" w:firstColumn="0" w:lastColumn="0" w:oddVBand="0" w:evenVBand="0" w:oddHBand="1" w:evenHBand="0" w:firstRowFirstColumn="0" w:firstRowLastColumn="0" w:lastRowFirstColumn="0" w:lastRowLastColumn="0"/>
                  <w:rPr>
                    <w:rFonts w:eastAsia="Calibri" w:cs="Times New Roman"/>
                    <w:szCs w:val="20"/>
                  </w:rPr>
                </w:pPr>
                <w:sdt>
                  <w:sdtPr>
                    <w:rPr>
                      <w:rFonts w:cs="Times New Roman"/>
                      <w:szCs w:val="20"/>
                    </w:rPr>
                    <w:tag w:val="goog_rdk_525"/>
                    <w:id w:val="1612813435"/>
                  </w:sdtPr>
                  <w:sdtContent>
                    <w:sdt>
                      <w:sdtPr>
                        <w:rPr>
                          <w:rFonts w:cs="Times New Roman"/>
                          <w:szCs w:val="20"/>
                        </w:rPr>
                        <w:tag w:val="goog_rdk_526"/>
                        <w:id w:val="856459024"/>
                      </w:sdtPr>
                      <w:sdtContent>
                        <w:r w:rsidR="004B772A">
                          <w:rPr>
                            <w:rFonts w:eastAsia="Calibri" w:cs="Times New Roman"/>
                            <w:szCs w:val="20"/>
                          </w:rPr>
                          <w:t>Strategists,</w:t>
                        </w:r>
                      </w:sdtContent>
                    </w:sdt>
                  </w:sdtContent>
                </w:sdt>
              </w:p>
            </w:sdtContent>
          </w:sdt>
          <w:sdt>
            <w:sdtPr>
              <w:rPr>
                <w:rFonts w:cs="Times New Roman"/>
                <w:szCs w:val="20"/>
              </w:rPr>
              <w:tag w:val="goog_rdk_531"/>
              <w:id w:val="-778359899"/>
            </w:sdtPr>
            <w:sdtContent>
              <w:p w14:paraId="261678C5"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528"/>
                    <w:id w:val="-1849236208"/>
                  </w:sdtPr>
                  <w:sdtContent>
                    <w:sdt>
                      <w:sdtPr>
                        <w:rPr>
                          <w:rFonts w:cs="Times New Roman"/>
                          <w:szCs w:val="20"/>
                        </w:rPr>
                        <w:tag w:val="goog_rdk_529"/>
                        <w:id w:val="-1497894955"/>
                      </w:sdtPr>
                      <w:sdtContent>
                        <w:r w:rsidR="004B772A">
                          <w:rPr>
                            <w:rFonts w:eastAsia="Calibri" w:cs="Times New Roman"/>
                            <w:szCs w:val="20"/>
                          </w:rPr>
                          <w:t>Regional Autonomy</w:t>
                        </w:r>
                      </w:sdtContent>
                    </w:sdt>
                    <w:sdt>
                      <w:sdtPr>
                        <w:rPr>
                          <w:rFonts w:cs="Times New Roman"/>
                          <w:szCs w:val="20"/>
                        </w:rPr>
                        <w:tag w:val="goog_rdk_530"/>
                        <w:id w:val="306832542"/>
                        <w:showingPlcHdr/>
                      </w:sdtPr>
                      <w:sdtContent>
                        <w:r w:rsidR="004B772A">
                          <w:t>    </w:t>
                        </w:r>
                      </w:sdtContent>
                    </w:sdt>
                  </w:sdtContent>
                </w:sdt>
              </w:p>
            </w:sdtContent>
          </w:sdt>
        </w:tc>
        <w:tc>
          <w:tcPr>
            <w:tcW w:w="0" w:type="auto"/>
          </w:tcPr>
          <w:p w14:paraId="4723D936"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4550B692"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Germany, UK</w:t>
            </w:r>
          </w:p>
        </w:tc>
        <w:tc>
          <w:tcPr>
            <w:tcW w:w="0" w:type="auto"/>
          </w:tcPr>
          <w:p w14:paraId="4478E398"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 wind</w:t>
            </w:r>
          </w:p>
        </w:tc>
      </w:tr>
      <w:tr w:rsidR="000055AD" w14:paraId="246FA8C8"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1F0918E7"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{"citationID":"XtZQLmnD","properties":{"formattedCitation":"(Giest 2015)","plainCitation":"(Giest 2015)","noteIndex":0},"citationItems":[{"id":43555,"uris":["http://zotero.org/groups/52011/items/I2J2PWXZ"],"itemData":{"id":43555,"type":"article-journal","abstract":"Abstract: In search of an appropriate institutional structure for successful environmental policy, many researchers focus on network governance. And while it provides the flexibility and adaptability needed for climate change initiatives, the paper argues that many networks collaborate too loosely to have the capacity to reach strategic goals or mobilize local players. There is often a disconnect between national policy goals and on-the-ground dynamics. Instead, government should adopt a network perspective which does not eliminate state action, but involves network management institutions at arm’s length of government. As an example for this mode of network governance, the research looks at the Swedish “National Network for Wind Power”, which was initiated by government and is now led by four wind coordinators managing the development of on- and off-shore wind electricity. The paper compares Swedish performance before and after the introduction of the wind network and shows how these government efforts have transformed Sweden from a weak performer to being a frontrunner in Europe. © 2015 The Editor, Journal of Comparative Policy Analysis: Research and Practice.","container-title":"Journal of Comparative Policy Analysis: Research and Practice","DOI":"10.1080/13876988.2015.1017302","issue":"4","page":"393-407","title":"Comparative Analysis of Sweden’s Wind Energy Policy: The Evolution of “Coordinated” Networks","volume":"17","author":[{"family":"Giest","given":"S."}],"issued":{"date-parts":[["2015"]]}}}],"schema":"https://github.com/citation-style-language/schema/raw/master/csl-citation.json"} </w:instrText>
            </w:r>
            <w:r>
              <w:rPr>
                <w:rFonts w:cs="Times New Roman"/>
                <w:szCs w:val="20"/>
              </w:rPr>
              <w:fldChar w:fldCharType="separate"/>
            </w:r>
            <w:r>
              <w:rPr>
                <w:rFonts w:cs="Times New Roman"/>
                <w:szCs w:val="20"/>
              </w:rPr>
              <w:t>(Giest 2015)</w:t>
            </w:r>
            <w:r>
              <w:rPr>
                <w:rFonts w:cs="Times New Roman"/>
                <w:szCs w:val="20"/>
              </w:rPr>
              <w:fldChar w:fldCharType="end"/>
            </w:r>
          </w:p>
        </w:tc>
        <w:tc>
          <w:tcPr>
            <w:tcW w:w="0" w:type="auto"/>
          </w:tcPr>
          <w:sdt>
            <w:sdtPr>
              <w:rPr>
                <w:rFonts w:cs="Times New Roman"/>
                <w:szCs w:val="20"/>
              </w:rPr>
              <w:tag w:val="goog_rdk_551"/>
              <w:id w:val="541517131"/>
            </w:sdtPr>
            <w:sdtContent>
              <w:p w14:paraId="3B0D0CFE"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548"/>
                    <w:id w:val="200563581"/>
                  </w:sdtPr>
                  <w:sdtContent>
                    <w:sdt>
                      <w:sdtPr>
                        <w:rPr>
                          <w:rFonts w:cs="Times New Roman"/>
                          <w:szCs w:val="20"/>
                        </w:rPr>
                        <w:tag w:val="goog_rdk_549"/>
                        <w:id w:val="-1977986717"/>
                      </w:sdtPr>
                      <w:sdtContent>
                        <w:r w:rsidR="004B772A">
                          <w:rPr>
                            <w:rFonts w:eastAsia="Calibri" w:cs="Times New Roman"/>
                            <w:szCs w:val="20"/>
                          </w:rPr>
                          <w:t>22</w:t>
                        </w:r>
                      </w:sdtContent>
                    </w:sdt>
                    <w:sdt>
                      <w:sdtPr>
                        <w:rPr>
                          <w:rFonts w:cs="Times New Roman"/>
                          <w:szCs w:val="20"/>
                        </w:rPr>
                        <w:tag w:val="goog_rdk_550"/>
                        <w:id w:val="1027026567"/>
                        <w:showingPlcHdr/>
                      </w:sdtPr>
                      <w:sdtContent>
                        <w:r w:rsidR="004B772A">
                          <w:t>    </w:t>
                        </w:r>
                      </w:sdtContent>
                    </w:sdt>
                  </w:sdtContent>
                </w:sdt>
              </w:p>
            </w:sdtContent>
          </w:sdt>
        </w:tc>
        <w:tc>
          <w:tcPr>
            <w:tcW w:w="0" w:type="auto"/>
          </w:tcPr>
          <w:sdt>
            <w:sdtPr>
              <w:rPr>
                <w:rFonts w:cs="Times New Roman"/>
                <w:szCs w:val="20"/>
              </w:rPr>
              <w:tag w:val="goog_rdk_555"/>
              <w:id w:val="1591182030"/>
            </w:sdtPr>
            <w:sdtContent>
              <w:p w14:paraId="7EB83327"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552"/>
                    <w:id w:val="-470756708"/>
                  </w:sdtPr>
                  <w:sdtContent>
                    <w:sdt>
                      <w:sdtPr>
                        <w:rPr>
                          <w:rFonts w:cs="Times New Roman"/>
                          <w:szCs w:val="20"/>
                        </w:rPr>
                        <w:tag w:val="goog_rdk_553"/>
                        <w:id w:val="-1517166512"/>
                      </w:sdtPr>
                      <w:sdtContent>
                        <w:r w:rsidR="004B772A">
                          <w:rPr>
                            <w:rFonts w:eastAsia="Calibri" w:cs="Times New Roman"/>
                            <w:szCs w:val="20"/>
                          </w:rPr>
                          <w:t>Regional Autonomy</w:t>
                        </w:r>
                      </w:sdtContent>
                    </w:sdt>
                    <w:sdt>
                      <w:sdtPr>
                        <w:rPr>
                          <w:rFonts w:cs="Times New Roman"/>
                          <w:szCs w:val="20"/>
                        </w:rPr>
                        <w:tag w:val="goog_rdk_554"/>
                        <w:id w:val="1398245400"/>
                        <w:showingPlcHdr/>
                      </w:sdtPr>
                      <w:sdtContent>
                        <w:r w:rsidR="004B772A">
                          <w:t>    </w:t>
                        </w:r>
                      </w:sdtContent>
                    </w:sdt>
                  </w:sdtContent>
                </w:sdt>
              </w:p>
            </w:sdtContent>
          </w:sdt>
        </w:tc>
        <w:tc>
          <w:tcPr>
            <w:tcW w:w="0" w:type="auto"/>
          </w:tcPr>
          <w:p w14:paraId="7B8F58EC"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45535C61"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Sweden</w:t>
            </w:r>
          </w:p>
        </w:tc>
        <w:tc>
          <w:tcPr>
            <w:tcW w:w="0" w:type="auto"/>
          </w:tcPr>
          <w:p w14:paraId="2A0BDED0"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wind</w:t>
            </w:r>
          </w:p>
        </w:tc>
      </w:tr>
      <w:tr w:rsidR="000055AD" w14:paraId="3C59618C"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AAAC49D"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{"citationID":"rvqHdxck","properties":{"formattedCitation":"(Guild 2019)","plainCitation":"(Guild 2019)","noteIndex":0},"citationItems":[{"id":43832,"uris":["http://zotero.org/groups/52011/items/FJX7CQR6"],"itemData":{"id":43832,"type":"article-journal","abstract":"The ability of Southeast Asia's largest economies to develop renewable energy sectors is important for the reduction of carbon emissions. A popular policy tool for jump-starting growth in renewables is feed-in-tariffs (FITs), whereby the government pays a long-term and mutually agreed rate to independent power producers to develop renewable energies such as solar, biomass, wind, and hydropower. Indonesia and the Philippines have both adopted FITs in recent years, and the result has been a strong growth of renewable energy in the Philippines, but not in Indonesia. This difference can be partly explained by variances in policy design and political economic conditions that have impacted policy success. The Philippines enacted a FIT scheme that reflected several best practices in policy design. The political economic conditions of energy markets in the Philippines were also initially more favourable. The variance in these components helps to explain the divergent results of their respective FIT systems. © 2019 The Author. Asia &amp; the Pacific Policy Studies published by Crawford School of Public Policy of the Australian National University and John Wiley &amp; Sons Australia, Ltd","container-title":"Asia and the Pacific Policy Studies","DOI":"10.1002/app5.288","issue":"3","page":"417-431","title":"Feed-in-tariffs and the politics of renewable energy in Indonesia and the Philippines","volume":"6","author":[{"family":"Guild","given":"J."}],"issued":{"date-parts":[["2019"]]}}}],"schema":"https://github.com/citation-style-language/schema/raw/master/csl-citation.json"} </w:instrText>
            </w:r>
            <w:r>
              <w:rPr>
                <w:rFonts w:cs="Times New Roman"/>
                <w:szCs w:val="20"/>
              </w:rPr>
              <w:fldChar w:fldCharType="separate"/>
            </w:r>
            <w:r>
              <w:rPr>
                <w:rFonts w:cs="Times New Roman"/>
                <w:szCs w:val="20"/>
              </w:rPr>
              <w:t>(Guild 2019)</w:t>
            </w:r>
            <w:r>
              <w:rPr>
                <w:rFonts w:cs="Times New Roman"/>
                <w:szCs w:val="20"/>
              </w:rPr>
              <w:fldChar w:fldCharType="end"/>
            </w:r>
          </w:p>
        </w:tc>
        <w:tc>
          <w:tcPr>
            <w:tcW w:w="0" w:type="auto"/>
          </w:tcPr>
          <w:sdt>
            <w:sdtPr>
              <w:rPr>
                <w:rFonts w:cs="Times New Roman"/>
                <w:szCs w:val="20"/>
              </w:rPr>
              <w:tag w:val="goog_rdk_575"/>
              <w:id w:val="-340140816"/>
            </w:sdtPr>
            <w:sdtContent>
              <w:p w14:paraId="3445B193"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572"/>
                    <w:id w:val="1424773798"/>
                  </w:sdtPr>
                  <w:sdtContent>
                    <w:sdt>
                      <w:sdtPr>
                        <w:rPr>
                          <w:rFonts w:cs="Times New Roman"/>
                          <w:szCs w:val="20"/>
                        </w:rPr>
                        <w:tag w:val="goog_rdk_573"/>
                        <w:id w:val="738147456"/>
                      </w:sdtPr>
                      <w:sdtContent>
                        <w:r w:rsidR="004B772A">
                          <w:rPr>
                            <w:rFonts w:eastAsia="Calibri" w:cs="Times New Roman"/>
                            <w:szCs w:val="20"/>
                          </w:rPr>
                          <w:t>23</w:t>
                        </w:r>
                      </w:sdtContent>
                    </w:sdt>
                    <w:sdt>
                      <w:sdtPr>
                        <w:rPr>
                          <w:rFonts w:cs="Times New Roman"/>
                          <w:szCs w:val="20"/>
                        </w:rPr>
                        <w:tag w:val="goog_rdk_574"/>
                        <w:id w:val="-1506930518"/>
                        <w:showingPlcHdr/>
                      </w:sdtPr>
                      <w:sdtContent>
                        <w:r w:rsidR="004B772A">
                          <w:t>    </w:t>
                        </w:r>
                      </w:sdtContent>
                    </w:sdt>
                  </w:sdtContent>
                </w:sdt>
              </w:p>
            </w:sdtContent>
          </w:sdt>
        </w:tc>
        <w:tc>
          <w:tcPr>
            <w:tcW w:w="0" w:type="auto"/>
          </w:tcPr>
          <w:sdt>
            <w:sdtPr>
              <w:rPr>
                <w:rFonts w:cs="Times New Roman"/>
                <w:szCs w:val="20"/>
              </w:rPr>
              <w:tag w:val="goog_rdk_579"/>
              <w:id w:val="-1178642602"/>
            </w:sdtPr>
            <w:sdtContent>
              <w:p w14:paraId="70BA1583"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576"/>
                    <w:id w:val="-52846117"/>
                  </w:sdtPr>
                  <w:sdtContent>
                    <w:sdt>
                      <w:sdtPr>
                        <w:rPr>
                          <w:rFonts w:cs="Times New Roman"/>
                          <w:szCs w:val="20"/>
                        </w:rPr>
                        <w:tag w:val="goog_rdk_577"/>
                        <w:id w:val="-1868867385"/>
                      </w:sdtPr>
                      <w:sdtContent>
                        <w:r w:rsidR="004B772A">
                          <w:rPr>
                            <w:rFonts w:eastAsia="Calibri" w:cs="Times New Roman"/>
                            <w:szCs w:val="20"/>
                          </w:rPr>
                          <w:t>Adaptive Pragmatists</w:t>
                        </w:r>
                      </w:sdtContent>
                    </w:sdt>
                    <w:sdt>
                      <w:sdtPr>
                        <w:rPr>
                          <w:rFonts w:cs="Times New Roman"/>
                          <w:szCs w:val="20"/>
                        </w:rPr>
                        <w:tag w:val="goog_rdk_578"/>
                        <w:id w:val="-83370399"/>
                        <w:showingPlcHdr/>
                      </w:sdtPr>
                      <w:sdtContent>
                        <w:r w:rsidR="004B772A">
                          <w:t>    </w:t>
                        </w:r>
                      </w:sdtContent>
                    </w:sdt>
                  </w:sdtContent>
                </w:sdt>
              </w:p>
            </w:sdtContent>
          </w:sdt>
        </w:tc>
        <w:tc>
          <w:tcPr>
            <w:tcW w:w="0" w:type="auto"/>
          </w:tcPr>
          <w:p w14:paraId="2DD83CE0"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5BA421A2"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Philippines</w:t>
            </w:r>
          </w:p>
        </w:tc>
        <w:tc>
          <w:tcPr>
            <w:tcW w:w="0" w:type="auto"/>
          </w:tcPr>
          <w:p w14:paraId="42AB2FE6"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biomass, hydro, solar, wind</w:t>
            </w:r>
          </w:p>
        </w:tc>
      </w:tr>
      <w:tr w:rsidR="000055AD" w14:paraId="1E6CE99E"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4C000D47"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{"citationID":"TnnBOFyS","properties":{"formattedCitation":"(Guliyev 2023)","plainCitation":"(Guliyev 2023)","noteIndex":0},"citationItems":[{"id":38801,"uris":["http://zotero.org/groups/52011/items/4URZ6HBA"],"itemData":{"id":38801,"type":"article-journal","abstract":"The clean energy transition has entered the policy discourse and government agenda of the Caspian oil-producing countries of Azerbaijan and Kazakhstan. Both countries have set a target to increase the share of renewable energy sources (RES) in total energy production by 2030. This article presents a comparative analysis of Azerbaijan and Kazakhstan in their paths to a low-carbon sources of energy covering the status of RES, renewable energy targets, and the role of government policy schemes in promoting renewable energy (RE) deployment. The study shows that despite some commonalities in the initial conditions (such as Soviet-era legacies of fossil-fuel-based infrastructure, a high degree of dependence on oil and gas rents, and dominance of state-owned enterprises), Kazakhstan adopted a more targeted regulatory framework and more elaborate policy schemes with regards to renewables than Azerbaijan did. In the latter case, the introduction of relevant renewable legislation has been significantly delayed or implemented only partially. As a result, Kazakhstan has performed relatively more successfully on advancing non-conventional renewable energy targets: non-hydro renewable sources accounted for 3% of total electricity generated in Kazakhstan and made up only 1% of electricity produced in Azerbaijan (as of 2020). This article highlights the following factors that stand out in explaining these variable outcomes: the degree of economic liberalization, quality of governance of the oil and gas sector, regulatory frameworks, and policy support schemes. © The Author(s) 2023.","archive":"Scopus","container-title":"Journal of Eurasian Studies","DOI":"10.1177/18793665231177720","title":"Renewable Energy Targets and Policies in Traditional Oil-Producing Countries: A Comparison of Azerbaijan and Kazakhstan","URL":"https://www.scopus.com/inward/record.uri?eid=2-s2.0-85163017815&amp;doi=10.1177%2f18793665231177720&amp;partnerID=40&amp;md5=105c367d6238febb8a97fd0e09a781f7","author":[{"family":"Guliyev","given":"F."}],"issued":{"date-parts":[["2023"]]}}}],"schema":"https://github.com/citation-style-language/schema/raw/master/csl-citation.json"} </w:instrText>
            </w:r>
            <w:r>
              <w:rPr>
                <w:rFonts w:cs="Times New Roman"/>
                <w:szCs w:val="20"/>
              </w:rPr>
              <w:fldChar w:fldCharType="separate"/>
            </w:r>
            <w:r>
              <w:rPr>
                <w:rFonts w:cs="Times New Roman"/>
                <w:szCs w:val="20"/>
              </w:rPr>
              <w:t>(Guliyev 2023)</w:t>
            </w:r>
            <w:r>
              <w:rPr>
                <w:rFonts w:cs="Times New Roman"/>
                <w:szCs w:val="20"/>
              </w:rPr>
              <w:fldChar w:fldCharType="end"/>
            </w:r>
          </w:p>
        </w:tc>
        <w:tc>
          <w:tcPr>
            <w:tcW w:w="0" w:type="auto"/>
          </w:tcPr>
          <w:sdt>
            <w:sdtPr>
              <w:rPr>
                <w:rFonts w:cs="Times New Roman"/>
                <w:szCs w:val="20"/>
              </w:rPr>
              <w:tag w:val="goog_rdk_599"/>
              <w:id w:val="719567224"/>
            </w:sdtPr>
            <w:sdtContent>
              <w:p w14:paraId="390A3955"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596"/>
                    <w:id w:val="497251326"/>
                  </w:sdtPr>
                  <w:sdtContent>
                    <w:sdt>
                      <w:sdtPr>
                        <w:rPr>
                          <w:rFonts w:cs="Times New Roman"/>
                          <w:szCs w:val="20"/>
                        </w:rPr>
                        <w:tag w:val="goog_rdk_597"/>
                        <w:id w:val="1360464385"/>
                      </w:sdtPr>
                      <w:sdtContent>
                        <w:r w:rsidR="004B772A">
                          <w:rPr>
                            <w:rFonts w:eastAsia="Calibri" w:cs="Times New Roman"/>
                            <w:szCs w:val="20"/>
                          </w:rPr>
                          <w:t>24</w:t>
                        </w:r>
                      </w:sdtContent>
                    </w:sdt>
                    <w:sdt>
                      <w:sdtPr>
                        <w:rPr>
                          <w:rFonts w:cs="Times New Roman"/>
                          <w:szCs w:val="20"/>
                        </w:rPr>
                        <w:tag w:val="goog_rdk_598"/>
                        <w:id w:val="-1221602155"/>
                        <w:showingPlcHdr/>
                      </w:sdtPr>
                      <w:sdtContent>
                        <w:r w:rsidR="004B772A">
                          <w:t>    </w:t>
                        </w:r>
                      </w:sdtContent>
                    </w:sdt>
                  </w:sdtContent>
                </w:sdt>
              </w:p>
            </w:sdtContent>
          </w:sdt>
        </w:tc>
        <w:tc>
          <w:tcPr>
            <w:tcW w:w="0" w:type="auto"/>
          </w:tcPr>
          <w:sdt>
            <w:sdtPr>
              <w:rPr>
                <w:rFonts w:cs="Times New Roman"/>
                <w:szCs w:val="20"/>
              </w:rPr>
              <w:tag w:val="goog_rdk_603"/>
              <w:id w:val="1991199691"/>
            </w:sdtPr>
            <w:sdtContent>
              <w:p w14:paraId="584631DE"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600"/>
                    <w:id w:val="333906524"/>
                  </w:sdtPr>
                  <w:sdtContent>
                    <w:sdt>
                      <w:sdtPr>
                        <w:rPr>
                          <w:rFonts w:cs="Times New Roman"/>
                          <w:szCs w:val="20"/>
                        </w:rPr>
                        <w:tag w:val="goog_rdk_601"/>
                        <w:id w:val="-857245511"/>
                      </w:sdtPr>
                      <w:sdtContent>
                        <w:r w:rsidR="004B772A">
                          <w:rPr>
                            <w:rFonts w:eastAsia="Calibri" w:cs="Times New Roman"/>
                            <w:szCs w:val="20"/>
                          </w:rPr>
                          <w:t>Adaptive Pragmatists</w:t>
                        </w:r>
                      </w:sdtContent>
                    </w:sdt>
                    <w:sdt>
                      <w:sdtPr>
                        <w:rPr>
                          <w:rFonts w:cs="Times New Roman"/>
                          <w:szCs w:val="20"/>
                        </w:rPr>
                        <w:tag w:val="goog_rdk_602"/>
                        <w:id w:val="295801809"/>
                        <w:showingPlcHdr/>
                      </w:sdtPr>
                      <w:sdtContent>
                        <w:r w:rsidR="004B772A">
                          <w:t>    </w:t>
                        </w:r>
                      </w:sdtContent>
                    </w:sdt>
                  </w:sdtContent>
                </w:sdt>
              </w:p>
            </w:sdtContent>
          </w:sdt>
        </w:tc>
        <w:tc>
          <w:tcPr>
            <w:tcW w:w="0" w:type="auto"/>
          </w:tcPr>
          <w:p w14:paraId="17F3F023"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04502411"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Kazakhstan</w:t>
            </w:r>
          </w:p>
        </w:tc>
        <w:tc>
          <w:tcPr>
            <w:tcW w:w="0" w:type="auto"/>
          </w:tcPr>
          <w:p w14:paraId="1184603E"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hydro, solar, wind</w:t>
            </w:r>
          </w:p>
        </w:tc>
      </w:tr>
      <w:tr w:rsidR="000055AD" w14:paraId="5570D094"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34B03A0"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{"citationID":"SxgVKR4b","properties":{"formattedCitation":"(Guertler, Beer, and Herberg 2021)","plainCitation":"(Guertler, Beer, and Herberg 2021)","noteIndex":0},"citationItems":[{"id":43822,"uris":["http://zotero.org/groups/52011/items/PZGDGBRV"],"itemData":{"id":43822,"type":"article-journal","abstract":"Climate change mitigation triggers both spatial and moral complexities, as demonstrated by the contentious issue of phasing out coal power. The success of the Paris Agreement depends on, among other things, the acceptability of climate policy measures and thus, from a moral perspective, on the ability to organize transition processes in ways that do not damage the livelihoods of workers, communities, and entire regions. Spatially, the unequal distributions of burdens and advantages of both climate change and respective mitigation measures provoke struggles over their legitimacy in contexts ranging from local to global. Phasing out coal mining and the respective power generation capacity thus triggers processes of structural transformation that cut across geographic scales, vertical levels of policy and politics, as well as sectoral boundaries. In light of the urgency of the climate crisis, countries such as Canada and Germany have established stakeholder-driven commissions to develop proposals for just transition pathways for phasing out coal production and consumption. We argue that these commissions are arenas in which spatial, moral, and sectoral (re-) negotiations materialize. Comparing the Canadian and German stakeholder commissions through expert interviews with their members, the article traces how governments use commissions to legitimize their transition policies. Expectations at different levels and from different actors in turn place commission members under pressure to justify their involvement and the outputs of the commissions. We find that the Canadian task force showed greater commitment to collecting and reflecting the needs of communities in its coal regions, and to communicating these to the federal government. In the German coal commission, legitimation strategies focused mainly on a broad representation of interests, and on government spending for affected regions, workers, and industries. In that case, a compromise was reached that satisfied most, but not all, of the diverse requirements.","container-title":"Political Geography","DOI":"10.1016/j.polgeo.2021.102406","title":"Scaling just transitions: Legitimation strategies in coal phase-out commissions in Canada and Germany","volume":"88","author":[{"family":"Guertler","given":"Konrad"},{"family":"Beer","given":"David Loew"},{"family":"Herberg","given":"Jeremias"}],"issued":{"date-parts":[["2021"]]}}}],"schema":"https://github.com/citation-style-language/schema/raw/master/csl-citation.json"} </w:instrText>
            </w:r>
            <w:r>
              <w:rPr>
                <w:rFonts w:cs="Times New Roman"/>
                <w:szCs w:val="20"/>
              </w:rPr>
              <w:fldChar w:fldCharType="separate"/>
            </w:r>
            <w:r>
              <w:rPr>
                <w:rFonts w:cs="Times New Roman"/>
                <w:szCs w:val="20"/>
              </w:rPr>
              <w:t>(Guertler, Beer, and Herberg 2021)</w:t>
            </w:r>
            <w:r>
              <w:rPr>
                <w:rFonts w:cs="Times New Roman"/>
                <w:szCs w:val="20"/>
              </w:rPr>
              <w:fldChar w:fldCharType="end"/>
            </w:r>
          </w:p>
        </w:tc>
        <w:tc>
          <w:tcPr>
            <w:tcW w:w="0" w:type="auto"/>
          </w:tcPr>
          <w:sdt>
            <w:sdtPr>
              <w:rPr>
                <w:rFonts w:cs="Times New Roman"/>
                <w:szCs w:val="20"/>
              </w:rPr>
              <w:tag w:val="goog_rdk_623"/>
              <w:id w:val="-540970440"/>
            </w:sdtPr>
            <w:sdtContent>
              <w:p w14:paraId="7FD6F7EC"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620"/>
                    <w:id w:val="-1766309866"/>
                  </w:sdtPr>
                  <w:sdtContent>
                    <w:sdt>
                      <w:sdtPr>
                        <w:rPr>
                          <w:rFonts w:cs="Times New Roman"/>
                          <w:szCs w:val="20"/>
                        </w:rPr>
                        <w:tag w:val="goog_rdk_621"/>
                        <w:id w:val="1948321993"/>
                      </w:sdtPr>
                      <w:sdtContent>
                        <w:r w:rsidR="004B772A">
                          <w:rPr>
                            <w:rFonts w:eastAsia="Calibri" w:cs="Times New Roman"/>
                            <w:szCs w:val="20"/>
                          </w:rPr>
                          <w:t>25</w:t>
                        </w:r>
                      </w:sdtContent>
                    </w:sdt>
                    <w:sdt>
                      <w:sdtPr>
                        <w:rPr>
                          <w:rFonts w:cs="Times New Roman"/>
                          <w:szCs w:val="20"/>
                        </w:rPr>
                        <w:tag w:val="goog_rdk_622"/>
                        <w:id w:val="-1754478067"/>
                        <w:showingPlcHdr/>
                      </w:sdtPr>
                      <w:sdtContent>
                        <w:r w:rsidR="004B772A">
                          <w:t>    </w:t>
                        </w:r>
                      </w:sdtContent>
                    </w:sdt>
                  </w:sdtContent>
                </w:sdt>
              </w:p>
            </w:sdtContent>
          </w:sdt>
        </w:tc>
        <w:tc>
          <w:tcPr>
            <w:tcW w:w="0" w:type="auto"/>
          </w:tcPr>
          <w:sdt>
            <w:sdtPr>
              <w:rPr>
                <w:rFonts w:cs="Times New Roman"/>
                <w:szCs w:val="20"/>
              </w:rPr>
              <w:tag w:val="goog_rdk_627"/>
              <w:id w:val="694461326"/>
            </w:sdtPr>
            <w:sdtContent>
              <w:p w14:paraId="74F22107"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624"/>
                    <w:id w:val="845290062"/>
                  </w:sdtPr>
                  <w:sdtContent>
                    <w:sdt>
                      <w:sdtPr>
                        <w:rPr>
                          <w:rFonts w:cs="Times New Roman"/>
                          <w:szCs w:val="20"/>
                        </w:rPr>
                        <w:tag w:val="goog_rdk_625"/>
                        <w:id w:val="-1859956282"/>
                      </w:sdtPr>
                      <w:sdtContent>
                        <w:r w:rsidR="004B772A">
                          <w:rPr>
                            <w:rFonts w:eastAsia="Calibri" w:cs="Times New Roman"/>
                            <w:szCs w:val="20"/>
                          </w:rPr>
                          <w:t>Coal Dependent &amp; Climate Leaders</w:t>
                        </w:r>
                      </w:sdtContent>
                    </w:sdt>
                    <w:sdt>
                      <w:sdtPr>
                        <w:rPr>
                          <w:rFonts w:cs="Times New Roman"/>
                          <w:szCs w:val="20"/>
                        </w:rPr>
                        <w:tag w:val="goog_rdk_626"/>
                        <w:id w:val="-303397398"/>
                        <w:showingPlcHdr/>
                      </w:sdtPr>
                      <w:sdtContent>
                        <w:r w:rsidR="004B772A">
                          <w:t>    </w:t>
                        </w:r>
                      </w:sdtContent>
                    </w:sdt>
                  </w:sdtContent>
                </w:sdt>
              </w:p>
            </w:sdtContent>
          </w:sdt>
        </w:tc>
        <w:tc>
          <w:tcPr>
            <w:tcW w:w="0" w:type="auto"/>
          </w:tcPr>
          <w:p w14:paraId="07E9F2F9"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351ADD7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Canada, Germany</w:t>
            </w:r>
          </w:p>
        </w:tc>
        <w:tc>
          <w:tcPr>
            <w:tcW w:w="0" w:type="auto"/>
          </w:tcPr>
          <w:p w14:paraId="62AE57F2"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coal</w:t>
            </w:r>
          </w:p>
        </w:tc>
      </w:tr>
      <w:tr w:rsidR="000055AD" w14:paraId="1A721BAE"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63FEACA8"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{"citationID":"MpFN0S7t","properties":{"formattedCitation":"(Hsu 2018)","plainCitation":"(Hsu 2018)","noteIndex":0},"citationItems":[{"id":44454,"uris":["http://zotero.org/groups/52011/items/RBJFYKXK"],"itemData":{"id":44454,"type":"article-journal","abstract":"Local governments and policies hold an important role in stimulating the growth of solar photovoltaic (PV) installations. By improving local solar permitting processes, city governments can potentially reduce the “soft” costs of solar PV installations and facilitate the deployment of solar PV systems at the local level. Drawing data from California's annual statewide planning surveys, this paper examines the determinants for the adoption of solar approval processes and the policy impact on residential solar PV installations in California cities. The results demonstrate that cities with large population size, municipal utilities, and high proportions of pro-environment, educated constituents are more likely to adopt solar approval processes. Additionally, the presence of local solar approval processes is found to increase both total capacity and the number of small-scale residential solar PV installations in a city, holding all else equal. The empirical evidence presented in this research confirms the important role of local governments in the deployment of solar PV systems. © 2018 Elsevier Ltd","container-title":"Energy Policy","DOI":"10.1016/j.enpol.2018.03.008","page":"463-472","title":"Predictors for adoption of local solar approval processes and impact on residential solar installations in California cities","volume":"117","author":[{"family":"Hsu","given":"J. H.-Y."}],"issued":{"date-parts":[["2018"]]}}}],"schema":"https://github.com/citation-style-language/schema/raw/master/csl-citation.json"} </w:instrText>
            </w:r>
            <w:r>
              <w:rPr>
                <w:rFonts w:cs="Times New Roman"/>
                <w:szCs w:val="20"/>
              </w:rPr>
              <w:fldChar w:fldCharType="separate"/>
            </w:r>
            <w:r>
              <w:rPr>
                <w:rFonts w:cs="Times New Roman"/>
                <w:szCs w:val="20"/>
              </w:rPr>
              <w:t>(Hsu 2018)</w:t>
            </w:r>
            <w:r>
              <w:rPr>
                <w:rFonts w:cs="Times New Roman"/>
                <w:szCs w:val="20"/>
              </w:rPr>
              <w:fldChar w:fldCharType="end"/>
            </w:r>
          </w:p>
        </w:tc>
        <w:tc>
          <w:tcPr>
            <w:tcW w:w="0" w:type="auto"/>
          </w:tcPr>
          <w:sdt>
            <w:sdtPr>
              <w:rPr>
                <w:rFonts w:cs="Times New Roman"/>
                <w:szCs w:val="20"/>
              </w:rPr>
              <w:tag w:val="goog_rdk_647"/>
              <w:id w:val="-804466118"/>
            </w:sdtPr>
            <w:sdtContent>
              <w:p w14:paraId="3C32A2A4"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644"/>
                    <w:id w:val="1970547880"/>
                  </w:sdtPr>
                  <w:sdtContent>
                    <w:sdt>
                      <w:sdtPr>
                        <w:rPr>
                          <w:rFonts w:cs="Times New Roman"/>
                          <w:szCs w:val="20"/>
                        </w:rPr>
                        <w:tag w:val="goog_rdk_645"/>
                        <w:id w:val="2049182822"/>
                      </w:sdtPr>
                      <w:sdtContent>
                        <w:r w:rsidR="004B772A">
                          <w:rPr>
                            <w:rFonts w:eastAsia="Calibri" w:cs="Times New Roman"/>
                            <w:szCs w:val="20"/>
                          </w:rPr>
                          <w:t>26</w:t>
                        </w:r>
                      </w:sdtContent>
                    </w:sdt>
                    <w:sdt>
                      <w:sdtPr>
                        <w:rPr>
                          <w:rFonts w:cs="Times New Roman"/>
                          <w:szCs w:val="20"/>
                        </w:rPr>
                        <w:tag w:val="goog_rdk_646"/>
                        <w:id w:val="-270938920"/>
                        <w:showingPlcHdr/>
                      </w:sdtPr>
                      <w:sdtContent>
                        <w:r w:rsidR="004B772A">
                          <w:t>    </w:t>
                        </w:r>
                      </w:sdtContent>
                    </w:sdt>
                  </w:sdtContent>
                </w:sdt>
              </w:p>
            </w:sdtContent>
          </w:sdt>
        </w:tc>
        <w:tc>
          <w:tcPr>
            <w:tcW w:w="0" w:type="auto"/>
          </w:tcPr>
          <w:sdt>
            <w:sdtPr>
              <w:rPr>
                <w:rFonts w:cs="Times New Roman"/>
                <w:szCs w:val="20"/>
              </w:rPr>
              <w:tag w:val="goog_rdk_651"/>
              <w:id w:val="237093594"/>
            </w:sdtPr>
            <w:sdtContent>
              <w:p w14:paraId="7D963FD9"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648"/>
                    <w:id w:val="-14520159"/>
                  </w:sdtPr>
                  <w:sdtContent>
                    <w:sdt>
                      <w:sdtPr>
                        <w:rPr>
                          <w:rFonts w:cs="Times New Roman"/>
                          <w:szCs w:val="20"/>
                        </w:rPr>
                        <w:tag w:val="goog_rdk_649"/>
                        <w:id w:val="2020164423"/>
                      </w:sdtPr>
                      <w:sdtContent>
                        <w:r w:rsidR="004B772A">
                          <w:rPr>
                            <w:rFonts w:eastAsia="Calibri" w:cs="Times New Roman"/>
                            <w:szCs w:val="20"/>
                          </w:rPr>
                          <w:t>Instrumentalists</w:t>
                        </w:r>
                      </w:sdtContent>
                    </w:sdt>
                    <w:sdt>
                      <w:sdtPr>
                        <w:rPr>
                          <w:rFonts w:cs="Times New Roman"/>
                          <w:szCs w:val="20"/>
                        </w:rPr>
                        <w:tag w:val="goog_rdk_650"/>
                        <w:id w:val="379731391"/>
                        <w:showingPlcHdr/>
                      </w:sdtPr>
                      <w:sdtContent>
                        <w:r w:rsidR="004B772A">
                          <w:t>    </w:t>
                        </w:r>
                      </w:sdtContent>
                    </w:sdt>
                  </w:sdtContent>
                </w:sdt>
              </w:p>
            </w:sdtContent>
          </w:sdt>
        </w:tc>
        <w:tc>
          <w:tcPr>
            <w:tcW w:w="0" w:type="auto"/>
          </w:tcPr>
          <w:p w14:paraId="081C529C"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4199D801"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California</w:t>
            </w:r>
          </w:p>
        </w:tc>
        <w:tc>
          <w:tcPr>
            <w:tcW w:w="0" w:type="auto"/>
          </w:tcPr>
          <w:p w14:paraId="4600741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w:t>
            </w:r>
          </w:p>
        </w:tc>
      </w:tr>
      <w:tr w:rsidR="000055AD" w14:paraId="33E0DE3F"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69C91B8"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{"citationID":"l5B0U4Zd","properties":{"formattedCitation":"(Isah et al. 2023)","plainCitation":"(Isah et al. 2023)","noteIndex":0},"citationItems":[{"id":44687,"uris":["http://zotero.org/groups/52011/items/8MT4PNA5"],"itemData":{"id":44687,"type":"article-journal","abstract":"BackgroundAchieving climate targets will require a rapid transition to clean energy. However, renewable energy (RE) firms face financial, policy, and economic barriers to mobilizing sufficient investment in low-carbon technologies, especially in low- and middle-income countries. Here, we analyze the challenges and successes of financing the energy transition in Nigeria and Brazil using three empirically grounded levers: financing environments, channels, and instruments.ResultsWhile Brazil has leveraged innovative policy instruments to mobilize large-scale investment in RE, policy uncertainty and weak financing mechanisms have hindered RE investments in Nigeria. Specifically, Brazil's energy transition has been driven by catalytic finance from the Brazilian Development Bank (BNDES). In contrast, bilateral agencies and multilateral development banks (MDBs) have been the largest financiers of renewables in Nigeria. Policy instruments and public-private partnerships need to be redesigned to attract finance and scale market opportunities for RE project developers in Nigeria.ConclusionsWe conclude that robust policy frameworks, a dynamic public bank, strategic deployment of blended finance, and diversification of financing instruments would be essential to accelerate RE investment in Nigeria. Considering the crucial role of donors and MDBs in Nigeria, we propose a multi-stakeholder model to consolidate climate finance and facilitate the country's energy transition.","container-title":"Energy Sustainability and Society","DOI":"10.1186/s13705-022-00379-9","ISSN":"2192-0567","issue":"1","title":"Financing renewable energy: policy insights from Brazil and Nigeria","volume":"13","author":[{"family":"Isah","given":"Abdulrasheed"},{"family":"Dioha","given":"Michael O."},{"family":"Debnath","given":"Ramit"},{"family":"Abraham-Dukuma","given":"Magnus C."},{"family":"Butu","given":"Hemen Mark"}],"issued":{"date-parts":[["2023"]]}}}],"schema":"https://github.com/citation-style-language/schema/raw/master/csl-citation.json"} </w:instrText>
            </w:r>
            <w:r>
              <w:rPr>
                <w:rFonts w:cs="Times New Roman"/>
                <w:szCs w:val="20"/>
              </w:rPr>
              <w:fldChar w:fldCharType="separate"/>
            </w:r>
            <w:r>
              <w:rPr>
                <w:rFonts w:cs="Times New Roman"/>
                <w:szCs w:val="20"/>
              </w:rPr>
              <w:t>(Isah et al. 2023)</w:t>
            </w:r>
            <w:r>
              <w:rPr>
                <w:rFonts w:cs="Times New Roman"/>
                <w:szCs w:val="20"/>
              </w:rPr>
              <w:fldChar w:fldCharType="end"/>
            </w:r>
          </w:p>
        </w:tc>
        <w:tc>
          <w:tcPr>
            <w:tcW w:w="0" w:type="auto"/>
          </w:tcPr>
          <w:sdt>
            <w:sdtPr>
              <w:rPr>
                <w:rFonts w:cs="Times New Roman"/>
                <w:szCs w:val="20"/>
              </w:rPr>
              <w:tag w:val="goog_rdk_671"/>
              <w:id w:val="625953777"/>
            </w:sdtPr>
            <w:sdtContent>
              <w:p w14:paraId="5F8EF976"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668"/>
                    <w:id w:val="-1414553351"/>
                  </w:sdtPr>
                  <w:sdtContent>
                    <w:sdt>
                      <w:sdtPr>
                        <w:rPr>
                          <w:rFonts w:cs="Times New Roman"/>
                          <w:szCs w:val="20"/>
                        </w:rPr>
                        <w:tag w:val="goog_rdk_669"/>
                        <w:id w:val="649008003"/>
                      </w:sdtPr>
                      <w:sdtContent>
                        <w:r w:rsidR="004B772A">
                          <w:rPr>
                            <w:rFonts w:eastAsia="Calibri" w:cs="Times New Roman"/>
                            <w:szCs w:val="20"/>
                          </w:rPr>
                          <w:t>27</w:t>
                        </w:r>
                      </w:sdtContent>
                    </w:sdt>
                    <w:sdt>
                      <w:sdtPr>
                        <w:rPr>
                          <w:rFonts w:cs="Times New Roman"/>
                          <w:szCs w:val="20"/>
                        </w:rPr>
                        <w:tag w:val="goog_rdk_670"/>
                        <w:id w:val="-1332435767"/>
                        <w:showingPlcHdr/>
                      </w:sdtPr>
                      <w:sdtContent>
                        <w:r w:rsidR="004B772A">
                          <w:t>    </w:t>
                        </w:r>
                      </w:sdtContent>
                    </w:sdt>
                  </w:sdtContent>
                </w:sdt>
              </w:p>
            </w:sdtContent>
          </w:sdt>
        </w:tc>
        <w:tc>
          <w:tcPr>
            <w:tcW w:w="0" w:type="auto"/>
          </w:tcPr>
          <w:sdt>
            <w:sdtPr>
              <w:rPr>
                <w:rFonts w:cs="Times New Roman"/>
                <w:szCs w:val="20"/>
              </w:rPr>
              <w:tag w:val="goog_rdk_675"/>
              <w:id w:val="711455856"/>
            </w:sdtPr>
            <w:sdtContent>
              <w:p w14:paraId="0B0517DC"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672"/>
                    <w:id w:val="-287214855"/>
                  </w:sdtPr>
                  <w:sdtContent>
                    <w:sdt>
                      <w:sdtPr>
                        <w:rPr>
                          <w:rFonts w:cs="Times New Roman"/>
                          <w:szCs w:val="20"/>
                        </w:rPr>
                        <w:tag w:val="goog_rdk_673"/>
                        <w:id w:val="1993449697"/>
                      </w:sdtPr>
                      <w:sdtContent>
                        <w:r w:rsidR="004B772A">
                          <w:rPr>
                            <w:rFonts w:eastAsia="Calibri" w:cs="Times New Roman"/>
                            <w:szCs w:val="20"/>
                          </w:rPr>
                          <w:t>Planners</w:t>
                        </w:r>
                      </w:sdtContent>
                    </w:sdt>
                    <w:sdt>
                      <w:sdtPr>
                        <w:rPr>
                          <w:rFonts w:cs="Times New Roman"/>
                          <w:szCs w:val="20"/>
                        </w:rPr>
                        <w:tag w:val="goog_rdk_674"/>
                        <w:id w:val="-653619986"/>
                        <w:showingPlcHdr/>
                      </w:sdtPr>
                      <w:sdtContent>
                        <w:r w:rsidR="004B772A">
                          <w:t>    </w:t>
                        </w:r>
                      </w:sdtContent>
                    </w:sdt>
                  </w:sdtContent>
                </w:sdt>
              </w:p>
            </w:sdtContent>
          </w:sdt>
        </w:tc>
        <w:tc>
          <w:tcPr>
            <w:tcW w:w="0" w:type="auto"/>
          </w:tcPr>
          <w:p w14:paraId="5D710D4A"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5517BCD4"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Brazil</w:t>
            </w:r>
          </w:p>
        </w:tc>
        <w:tc>
          <w:tcPr>
            <w:tcW w:w="0" w:type="auto"/>
          </w:tcPr>
          <w:p w14:paraId="0AB3EEE8"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 wind</w:t>
            </w:r>
          </w:p>
        </w:tc>
      </w:tr>
      <w:tr w:rsidR="000055AD" w14:paraId="4615B93D"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54BAF7EB"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{"citationID":"2iYUWun2","properties":{"formattedCitation":"(Isoaho and Markard 2020)","plainCitation":"(Isoaho and Markard 2020)","noteIndex":0},"citationItems":[{"id":44700,"uris":["http://zotero.org/groups/52011/items/HDNCJS9N"],"itemData":{"id":44700,"type":"article-journal","abstract":"The decline of carbon intensive technologies is a key element in the ongoing energy transition and our attempts to tackle climate change. At the same time, our understanding of technology decline and of the associated policies and politics is still limited. This paper builds on the sustainability transitions perspective, a novel approach to analyze socio-technical transformation, including the complex interplay of policy and technology change. We study the decline of coal-fired power generation in the United Kingdom from 2000 to 2017 by analyzing the discourse in The Guardian. We find scientists and environmental NGOs criticizing coal for climate and health reasons. Government and incumbent businesses tried to re-legitimate coal but eventually, their resistance collapsed and coal was almost completely abandoned in just a few years. Particularly devastating for coal were failed promises around carbon capture and storage, rapid diffusion of wind energy, and pressure from various policies. This study contributes to better understanding the contested nature of decline, and the interplay of discursive struggles, technology change, and public policy in sustainability transitions. © 2020 Policy Studies Organization","container-title":"Review of Policy Research","DOI":"10.1111/ropr.12370","issue":"3","page":"342-368","title":"The Politics of Technology Decline: Discursive Struggles over Coal Phase-Out in the UK","volume":"37","author":[{"family":"Isoaho","given":"K."},{"family":"Markard","given":"J."}],"issued":{"date-parts":[["2020"]]}}}],"schema":"https://github.com/citation-style-language/schema/raw/master/csl-citation.json"} </w:instrText>
            </w:r>
            <w:r>
              <w:rPr>
                <w:rFonts w:cs="Times New Roman"/>
                <w:szCs w:val="20"/>
              </w:rPr>
              <w:fldChar w:fldCharType="separate"/>
            </w:r>
            <w:r>
              <w:rPr>
                <w:rFonts w:cs="Times New Roman"/>
                <w:szCs w:val="20"/>
              </w:rPr>
              <w:t>(Isoaho and Markard 2020)</w:t>
            </w:r>
            <w:r>
              <w:rPr>
                <w:rFonts w:cs="Times New Roman"/>
                <w:szCs w:val="20"/>
              </w:rPr>
              <w:fldChar w:fldCharType="end"/>
            </w:r>
          </w:p>
        </w:tc>
        <w:tc>
          <w:tcPr>
            <w:tcW w:w="0" w:type="auto"/>
          </w:tcPr>
          <w:sdt>
            <w:sdtPr>
              <w:rPr>
                <w:rFonts w:cs="Times New Roman"/>
                <w:szCs w:val="20"/>
              </w:rPr>
              <w:tag w:val="goog_rdk_695"/>
              <w:id w:val="1398606376"/>
            </w:sdtPr>
            <w:sdtContent>
              <w:p w14:paraId="23C5D4D4"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692"/>
                    <w:id w:val="-1460506387"/>
                  </w:sdtPr>
                  <w:sdtContent>
                    <w:sdt>
                      <w:sdtPr>
                        <w:rPr>
                          <w:rFonts w:cs="Times New Roman"/>
                          <w:szCs w:val="20"/>
                        </w:rPr>
                        <w:tag w:val="goog_rdk_693"/>
                        <w:id w:val="2037168571"/>
                      </w:sdtPr>
                      <w:sdtContent>
                        <w:r w:rsidR="004B772A">
                          <w:rPr>
                            <w:rFonts w:eastAsia="Calibri" w:cs="Times New Roman"/>
                            <w:szCs w:val="20"/>
                          </w:rPr>
                          <w:t>28</w:t>
                        </w:r>
                      </w:sdtContent>
                    </w:sdt>
                    <w:sdt>
                      <w:sdtPr>
                        <w:rPr>
                          <w:rFonts w:cs="Times New Roman"/>
                          <w:szCs w:val="20"/>
                        </w:rPr>
                        <w:tag w:val="goog_rdk_694"/>
                        <w:id w:val="48518792"/>
                        <w:showingPlcHdr/>
                      </w:sdtPr>
                      <w:sdtContent>
                        <w:r w:rsidR="004B772A">
                          <w:t>    </w:t>
                        </w:r>
                      </w:sdtContent>
                    </w:sdt>
                  </w:sdtContent>
                </w:sdt>
              </w:p>
            </w:sdtContent>
          </w:sdt>
        </w:tc>
        <w:tc>
          <w:tcPr>
            <w:tcW w:w="0" w:type="auto"/>
          </w:tcPr>
          <w:sdt>
            <w:sdtPr>
              <w:rPr>
                <w:rFonts w:cs="Times New Roman"/>
                <w:szCs w:val="20"/>
              </w:rPr>
              <w:tag w:val="goog_rdk_699"/>
              <w:id w:val="138605527"/>
            </w:sdtPr>
            <w:sdtContent>
              <w:p w14:paraId="7782966A"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696"/>
                    <w:id w:val="1512677941"/>
                  </w:sdtPr>
                  <w:sdtContent>
                    <w:sdt>
                      <w:sdtPr>
                        <w:rPr>
                          <w:rFonts w:cs="Times New Roman"/>
                          <w:szCs w:val="20"/>
                        </w:rPr>
                        <w:tag w:val="goog_rdk_697"/>
                        <w:id w:val="-760368613"/>
                      </w:sdtPr>
                      <w:sdtContent>
                        <w:r w:rsidR="004B772A">
                          <w:rPr>
                            <w:rFonts w:eastAsia="Calibri" w:cs="Times New Roman"/>
                            <w:szCs w:val="20"/>
                          </w:rPr>
                          <w:t>Liberalized &amp; Coal Independent</w:t>
                        </w:r>
                      </w:sdtContent>
                    </w:sdt>
                    <w:sdt>
                      <w:sdtPr>
                        <w:rPr>
                          <w:rFonts w:cs="Times New Roman"/>
                          <w:szCs w:val="20"/>
                        </w:rPr>
                        <w:tag w:val="goog_rdk_698"/>
                        <w:id w:val="1394364623"/>
                        <w:showingPlcHdr/>
                      </w:sdtPr>
                      <w:sdtContent>
                        <w:r w:rsidR="004B772A">
                          <w:t>    </w:t>
                        </w:r>
                      </w:sdtContent>
                    </w:sdt>
                  </w:sdtContent>
                </w:sdt>
              </w:p>
            </w:sdtContent>
          </w:sdt>
        </w:tc>
        <w:tc>
          <w:tcPr>
            <w:tcW w:w="0" w:type="auto"/>
          </w:tcPr>
          <w:p w14:paraId="67D152B2"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645E6FF9"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UK</w:t>
            </w:r>
          </w:p>
        </w:tc>
        <w:tc>
          <w:tcPr>
            <w:tcW w:w="0" w:type="auto"/>
          </w:tcPr>
          <w:p w14:paraId="15FA8039"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coal</w:t>
            </w:r>
          </w:p>
        </w:tc>
      </w:tr>
      <w:tr w:rsidR="000055AD" w14:paraId="13DEB357"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A702B48"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{"citationID":"vfGgryKP","properties":{"formattedCitation":"(Jewell et al. 2019)","plainCitation":"(Jewell et al. 2019)","noteIndex":0},"citationItems":[{"id":1366,"uris":["http://zotero.org/groups/52011/items/VKZ822ZK"],"itemData":{"id":1366,"type":"article-journal","container-title":"Nature Climate Change","DOI":"10.1038/s41558-019-0509-6","ISSN":"1758-678X, 1758-6798","journalAbbreviation":"Nat. Clim. Chang.","language":"en","source":"DOI.org (Crossref)","title":"Prospects for powering past coal","URL":"http://www.nature.com/articles/s41558-019-0509-6","author":[{"family":"Jewell","given":"Jessica"},{"family":"Vinichenko","given":"Vadim"},{"family":"Nacke","given":"Lola"},{"family":"Cherp","given":"Aleh"}],"accessed":{"date-parts":[["2019",7,9]]},"issued":{"date-parts":[["2019",7,1]]}}}],"schema":"https://github.com/citation-style-language/schema/raw/master/csl-citation.json"} </w:instrText>
            </w:r>
            <w:r>
              <w:rPr>
                <w:rFonts w:cs="Times New Roman"/>
                <w:szCs w:val="20"/>
              </w:rPr>
              <w:fldChar w:fldCharType="separate"/>
            </w:r>
            <w:r>
              <w:rPr>
                <w:rFonts w:cs="Times New Roman"/>
                <w:szCs w:val="20"/>
              </w:rPr>
              <w:t>(Jewell et al. 2019)</w:t>
            </w:r>
            <w:r>
              <w:rPr>
                <w:rFonts w:cs="Times New Roman"/>
                <w:szCs w:val="20"/>
              </w:rPr>
              <w:fldChar w:fldCharType="end"/>
            </w:r>
          </w:p>
        </w:tc>
        <w:tc>
          <w:tcPr>
            <w:tcW w:w="0" w:type="auto"/>
          </w:tcPr>
          <w:sdt>
            <w:sdtPr>
              <w:rPr>
                <w:rFonts w:cs="Times New Roman"/>
                <w:szCs w:val="20"/>
              </w:rPr>
              <w:tag w:val="goog_rdk_719"/>
              <w:id w:val="1293718499"/>
            </w:sdtPr>
            <w:sdtContent>
              <w:p w14:paraId="4C3945FE"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716"/>
                    <w:id w:val="-1054129974"/>
                  </w:sdtPr>
                  <w:sdtContent>
                    <w:sdt>
                      <w:sdtPr>
                        <w:rPr>
                          <w:rFonts w:cs="Times New Roman"/>
                          <w:szCs w:val="20"/>
                        </w:rPr>
                        <w:tag w:val="goog_rdk_717"/>
                        <w:id w:val="-1533285461"/>
                      </w:sdtPr>
                      <w:sdtContent>
                        <w:r w:rsidR="004B772A">
                          <w:rPr>
                            <w:rFonts w:eastAsia="Calibri" w:cs="Times New Roman"/>
                            <w:szCs w:val="20"/>
                          </w:rPr>
                          <w:t>29</w:t>
                        </w:r>
                      </w:sdtContent>
                    </w:sdt>
                    <w:sdt>
                      <w:sdtPr>
                        <w:rPr>
                          <w:rFonts w:cs="Times New Roman"/>
                          <w:szCs w:val="20"/>
                        </w:rPr>
                        <w:tag w:val="goog_rdk_718"/>
                        <w:id w:val="232919810"/>
                        <w:showingPlcHdr/>
                      </w:sdtPr>
                      <w:sdtContent>
                        <w:r w:rsidR="004B772A">
                          <w:t>    </w:t>
                        </w:r>
                      </w:sdtContent>
                    </w:sdt>
                  </w:sdtContent>
                </w:sdt>
              </w:p>
            </w:sdtContent>
          </w:sdt>
        </w:tc>
        <w:tc>
          <w:tcPr>
            <w:tcW w:w="0" w:type="auto"/>
          </w:tcPr>
          <w:sdt>
            <w:sdtPr>
              <w:rPr>
                <w:rFonts w:cs="Times New Roman"/>
                <w:szCs w:val="20"/>
              </w:rPr>
              <w:tag w:val="goog_rdk_723"/>
              <w:id w:val="-1239670413"/>
            </w:sdtPr>
            <w:sdtContent>
              <w:p w14:paraId="4C3EFD23"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720"/>
                    <w:id w:val="331536029"/>
                  </w:sdtPr>
                  <w:sdtContent>
                    <w:sdt>
                      <w:sdtPr>
                        <w:rPr>
                          <w:rFonts w:cs="Times New Roman"/>
                          <w:szCs w:val="20"/>
                        </w:rPr>
                        <w:tag w:val="goog_rdk_721"/>
                        <w:id w:val="-1874187787"/>
                      </w:sdtPr>
                      <w:sdtContent>
                        <w:r w:rsidR="004B772A">
                          <w:rPr>
                            <w:rFonts w:eastAsia="Calibri" w:cs="Times New Roman"/>
                            <w:szCs w:val="20"/>
                          </w:rPr>
                          <w:t>Liberalized and Coal Independent</w:t>
                        </w:r>
                      </w:sdtContent>
                    </w:sdt>
                    <w:sdt>
                      <w:sdtPr>
                        <w:rPr>
                          <w:rFonts w:cs="Times New Roman"/>
                          <w:szCs w:val="20"/>
                        </w:rPr>
                        <w:tag w:val="goog_rdk_722"/>
                        <w:id w:val="-448180752"/>
                        <w:showingPlcHdr/>
                      </w:sdtPr>
                      <w:sdtContent>
                        <w:r w:rsidR="004B772A">
                          <w:t>    </w:t>
                        </w:r>
                      </w:sdtContent>
                    </w:sdt>
                  </w:sdtContent>
                </w:sdt>
              </w:p>
            </w:sdtContent>
          </w:sdt>
        </w:tc>
        <w:tc>
          <w:tcPr>
            <w:tcW w:w="0" w:type="auto"/>
          </w:tcPr>
          <w:p w14:paraId="2781F5B8"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3FBC4AB1"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Austria, Belgium, Canada, Denmark, Finland, France, Ireland, Ireland, Israel, Italy, Mexico, Netherlands, New Zealand, Portugal, Sweden, UK</w:t>
            </w:r>
          </w:p>
        </w:tc>
        <w:tc>
          <w:tcPr>
            <w:tcW w:w="0" w:type="auto"/>
          </w:tcPr>
          <w:p w14:paraId="358A40A4"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coal</w:t>
            </w:r>
          </w:p>
        </w:tc>
      </w:tr>
      <w:tr w:rsidR="000055AD" w14:paraId="350EC91C"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6192C953"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{"citationID":"LvHhLY5e","properties":{"formattedCitation":"(Karltorp, Guo, and Sand\\uc0\\u233{}n 2017)","plainCitation":"(Karltorp, Guo, and Sandén 2017)","noteIndex":0},"citationItems":[{"id":59488,"uris":["http://zotero.org/groups/52011/items/DSL8KCWK"],"itemData":{"id":59488,"type":"article-journal","abstract":"To mitigate climate change, a rapid and large-scale expansion of sustainable innovations such as renewable energy technologies is crucial. China's track record of wind power development shows both speed and scale that can provide valuable knowledge of how to stimulate and maintain transformation of energy systems. The growth was made possible partly by ample access to ﬁnancial capital. However, the rapid growth also led to growing pains and made the industry face increasing ﬁnancial constraints. While these constraints partly relate to structures and trends that are external to the wind power innovation system, they were also a consequence of the particular path taken in Chinese wind power development. The case demonstrates that if a full-ﬂedged industry is to be developed and sustained, a balanced growth is required and all innovation system functions need due attention, sooner or later. Conceptually, the article contributes by further exploring how mobilisation of ﬁnancial resources affect and is affected by overall system dynamics.","container-title":"Journal of Cleaner Production","DOI":"10.1016/j.jclepro.2016.10.075","ISSN":"09596526","journalAbbreviation":"Journal of Cleaner Production","language":"en","page":"3872-3882","source":"DOI.org (Crossref)","title":"Handling financial resource mobilisation in technological innovation systems - The case of chinese wind power","volume":"142","author":[{"family":"Karltorp","given":"Kersti"},{"family":"Guo","given":"Siping"},{"family":"Sandén","given":"Björn A."}],"issued":{"date-parts":[["2017",1]]}}}],"schema":"https://github.com/citation-style-language/schema/raw/master/csl-citation.json"} </w:instrText>
            </w:r>
            <w:r>
              <w:rPr>
                <w:rFonts w:cs="Times New Roman"/>
                <w:szCs w:val="20"/>
              </w:rPr>
              <w:fldChar w:fldCharType="separate"/>
            </w:r>
            <w:r>
              <w:rPr>
                <w:rFonts w:cs="Times New Roman"/>
                <w:szCs w:val="20"/>
              </w:rPr>
              <w:t>(Karltorp, Guo, and Sandén 2017)</w:t>
            </w:r>
            <w:r>
              <w:rPr>
                <w:rFonts w:cs="Times New Roman"/>
                <w:szCs w:val="20"/>
              </w:rPr>
              <w:fldChar w:fldCharType="end"/>
            </w:r>
          </w:p>
        </w:tc>
        <w:tc>
          <w:tcPr>
            <w:tcW w:w="0" w:type="auto"/>
          </w:tcPr>
          <w:sdt>
            <w:sdtPr>
              <w:rPr>
                <w:rFonts w:cs="Times New Roman"/>
                <w:szCs w:val="20"/>
              </w:rPr>
              <w:tag w:val="goog_rdk_743"/>
              <w:id w:val="1228671018"/>
            </w:sdtPr>
            <w:sdtContent>
              <w:p w14:paraId="5742623F"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740"/>
                    <w:id w:val="-1286903207"/>
                  </w:sdtPr>
                  <w:sdtContent>
                    <w:sdt>
                      <w:sdtPr>
                        <w:rPr>
                          <w:rFonts w:cs="Times New Roman"/>
                          <w:szCs w:val="20"/>
                        </w:rPr>
                        <w:tag w:val="goog_rdk_741"/>
                        <w:id w:val="-1037378238"/>
                      </w:sdtPr>
                      <w:sdtContent>
                        <w:r w:rsidR="004B772A">
                          <w:rPr>
                            <w:rFonts w:eastAsia="Calibri" w:cs="Times New Roman"/>
                            <w:szCs w:val="20"/>
                          </w:rPr>
                          <w:t>30</w:t>
                        </w:r>
                      </w:sdtContent>
                    </w:sdt>
                    <w:sdt>
                      <w:sdtPr>
                        <w:rPr>
                          <w:rFonts w:cs="Times New Roman"/>
                          <w:szCs w:val="20"/>
                        </w:rPr>
                        <w:tag w:val="goog_rdk_742"/>
                        <w:id w:val="-1982409859"/>
                        <w:showingPlcHdr/>
                      </w:sdtPr>
                      <w:sdtContent>
                        <w:r w:rsidR="004B772A">
                          <w:t>    </w:t>
                        </w:r>
                      </w:sdtContent>
                    </w:sdt>
                  </w:sdtContent>
                </w:sdt>
              </w:p>
            </w:sdtContent>
          </w:sdt>
        </w:tc>
        <w:tc>
          <w:tcPr>
            <w:tcW w:w="0" w:type="auto"/>
          </w:tcPr>
          <w:sdt>
            <w:sdtPr>
              <w:rPr>
                <w:rFonts w:cs="Times New Roman"/>
                <w:szCs w:val="20"/>
              </w:rPr>
              <w:tag w:val="goog_rdk_747"/>
              <w:id w:val="2012391752"/>
            </w:sdtPr>
            <w:sdtContent>
              <w:p w14:paraId="28BFF6B6"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744"/>
                    <w:id w:val="-69560632"/>
                  </w:sdtPr>
                  <w:sdtContent>
                    <w:sdt>
                      <w:sdtPr>
                        <w:rPr>
                          <w:rFonts w:cs="Times New Roman"/>
                          <w:szCs w:val="20"/>
                        </w:rPr>
                        <w:tag w:val="goog_rdk_745"/>
                        <w:id w:val="-317138517"/>
                      </w:sdtPr>
                      <w:sdtContent>
                        <w:r w:rsidR="004B772A">
                          <w:rPr>
                            <w:rFonts w:eastAsia="Calibri" w:cs="Times New Roman"/>
                            <w:szCs w:val="20"/>
                          </w:rPr>
                          <w:t>Planners</w:t>
                        </w:r>
                      </w:sdtContent>
                    </w:sdt>
                    <w:sdt>
                      <w:sdtPr>
                        <w:rPr>
                          <w:rFonts w:cs="Times New Roman"/>
                          <w:szCs w:val="20"/>
                        </w:rPr>
                        <w:tag w:val="goog_rdk_746"/>
                        <w:id w:val="980045091"/>
                        <w:showingPlcHdr/>
                      </w:sdtPr>
                      <w:sdtContent>
                        <w:r w:rsidR="004B772A">
                          <w:t>    </w:t>
                        </w:r>
                      </w:sdtContent>
                    </w:sdt>
                  </w:sdtContent>
                </w:sdt>
              </w:p>
            </w:sdtContent>
          </w:sdt>
        </w:tc>
        <w:tc>
          <w:tcPr>
            <w:tcW w:w="0" w:type="auto"/>
          </w:tcPr>
          <w:p w14:paraId="67686634"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2B25BAAC"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China</w:t>
            </w:r>
          </w:p>
        </w:tc>
        <w:tc>
          <w:tcPr>
            <w:tcW w:w="0" w:type="auto"/>
          </w:tcPr>
          <w:p w14:paraId="617733E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wind</w:t>
            </w:r>
          </w:p>
        </w:tc>
      </w:tr>
      <w:tr w:rsidR="000055AD" w14:paraId="1C93696F"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34606C0"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{"citationID":"Y30E9a03","properties":{"formattedCitation":"(S. Kim et al. 2018)","plainCitation":"(S. Kim et al. 2018)","noteIndex":0},"citationItems":[{"id":45474,"uris":["http://zotero.org/groups/52011/items/UNM2JTK4"],"itemData":{"id":45474,"type":"article-journal","abstract":"This paper presents the steps taken by the Korea Electric Power Corporation (KEPCO), the nation's only utility, to overcome limitations involved in increasing renewable energy penetration in an effort to support the government's movement for renewable energy expansion. While the government proposes reducing carbon dioxide emissions by 37% of the Business As Usual (BAU) value by 2030, which is about 315 million tonnes, it has improved energy policies for developing and deploying renewable energy technologies. To facilitate the integration of renewable energy into the future Korean power system, the government has announced a guaranteed interconnection policy for renewable energy sources under 1 MW. Based on this movement, the following measures have been enacted. First, examination of the hosting capacity of the current power system has been initiated to streamline the interconnection process for the distributed renewable energy sources and to reinforce the transmission and distribution network in a proactive manner. Second, to comply with reliability performance standards, an efficient planning procedure has been established for determining the optimal location and size of a renewable complex. To proceed with interconnection requests without delay, a prototype of a Renewable Energy Map (REM) based on PSS/e and Python has been developed. This tool facilitates more practical impact studies by incorporating capacity factors of renewable sources. In addition, it automates the screening process for determining suitable interconnection buses and feasible options for grid reinforcement. This tool is a step toward realizing the twin visions of “G-Platform” and “Carbon Zero” projects in Jeju Island.” These efforts, which have been initiated in response to the Paris Climate Change Accord of 2015 and the 23rd Conference of the Parties 2017, aim to increase renewable energy from 7% to 20% of the total generated energy in Korea by 2030. © 2018 Elsevier Ltd","container-title":"Renewable and Sustainable Energy Reviews","DOI":"10.1016/j.rser.2018.09.013","page":"150-162","title":"Improvement in policy and proactive interconnection procedure for renewable energy expansion in South Korea","volume":"98","author":[{"family":"Kim","given":"S."},{"family":"Lee","given":"H."},{"family":"Kim","given":"H."},{"family":"Jang","given":"D.-H."},{"family":"Kim","given":"H.-J."},{"family":"Hur","given":"J."},{"family":"Cho","given":"Y.-S."},{"family":"Hur","given":"K."}],"issued":{"date-parts":[["2018"]]}}}],"schema":"https://github.com/citation-style-language/schema/raw/master/csl-citation.json"} </w:instrText>
            </w:r>
            <w:r>
              <w:rPr>
                <w:rFonts w:cs="Times New Roman"/>
                <w:szCs w:val="20"/>
              </w:rPr>
              <w:fldChar w:fldCharType="separate"/>
            </w:r>
            <w:r>
              <w:rPr>
                <w:rFonts w:cs="Times New Roman"/>
                <w:szCs w:val="20"/>
              </w:rPr>
              <w:t>(S. Kim et al. 2018)</w:t>
            </w:r>
            <w:r>
              <w:rPr>
                <w:rFonts w:cs="Times New Roman"/>
                <w:szCs w:val="20"/>
              </w:rPr>
              <w:fldChar w:fldCharType="end"/>
            </w:r>
          </w:p>
        </w:tc>
        <w:tc>
          <w:tcPr>
            <w:tcW w:w="0" w:type="auto"/>
          </w:tcPr>
          <w:sdt>
            <w:sdtPr>
              <w:rPr>
                <w:rFonts w:cs="Times New Roman"/>
                <w:szCs w:val="20"/>
              </w:rPr>
              <w:tag w:val="goog_rdk_767"/>
              <w:id w:val="-807448378"/>
            </w:sdtPr>
            <w:sdtContent>
              <w:p w14:paraId="007DA37C"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764"/>
                    <w:id w:val="295795994"/>
                  </w:sdtPr>
                  <w:sdtContent>
                    <w:sdt>
                      <w:sdtPr>
                        <w:rPr>
                          <w:rFonts w:cs="Times New Roman"/>
                          <w:szCs w:val="20"/>
                        </w:rPr>
                        <w:tag w:val="goog_rdk_765"/>
                        <w:id w:val="1227717437"/>
                      </w:sdtPr>
                      <w:sdtContent>
                        <w:r w:rsidR="004B772A">
                          <w:rPr>
                            <w:rFonts w:eastAsia="Calibri" w:cs="Times New Roman"/>
                            <w:szCs w:val="20"/>
                          </w:rPr>
                          <w:t>31</w:t>
                        </w:r>
                      </w:sdtContent>
                    </w:sdt>
                    <w:sdt>
                      <w:sdtPr>
                        <w:rPr>
                          <w:rFonts w:cs="Times New Roman"/>
                          <w:szCs w:val="20"/>
                        </w:rPr>
                        <w:tag w:val="goog_rdk_766"/>
                        <w:id w:val="1084758755"/>
                        <w:showingPlcHdr/>
                      </w:sdtPr>
                      <w:sdtContent>
                        <w:r w:rsidR="004B772A">
                          <w:t>    </w:t>
                        </w:r>
                      </w:sdtContent>
                    </w:sdt>
                  </w:sdtContent>
                </w:sdt>
              </w:p>
            </w:sdtContent>
          </w:sdt>
        </w:tc>
        <w:tc>
          <w:tcPr>
            <w:tcW w:w="0" w:type="auto"/>
          </w:tcPr>
          <w:sdt>
            <w:sdtPr>
              <w:rPr>
                <w:rFonts w:cs="Times New Roman"/>
                <w:szCs w:val="20"/>
              </w:rPr>
              <w:tag w:val="goog_rdk_771"/>
              <w:id w:val="310979458"/>
            </w:sdtPr>
            <w:sdtContent>
              <w:p w14:paraId="6EF57435"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768"/>
                    <w:id w:val="-1772073213"/>
                  </w:sdtPr>
                  <w:sdtContent>
                    <w:sdt>
                      <w:sdtPr>
                        <w:rPr>
                          <w:rFonts w:cs="Times New Roman"/>
                          <w:szCs w:val="20"/>
                        </w:rPr>
                        <w:tag w:val="goog_rdk_769"/>
                        <w:id w:val="-936820993"/>
                      </w:sdtPr>
                      <w:sdtContent>
                        <w:r w:rsidR="004B772A">
                          <w:rPr>
                            <w:rFonts w:eastAsia="Calibri" w:cs="Times New Roman"/>
                            <w:szCs w:val="20"/>
                          </w:rPr>
                          <w:t>Strategists</w:t>
                        </w:r>
                      </w:sdtContent>
                    </w:sdt>
                    <w:sdt>
                      <w:sdtPr>
                        <w:rPr>
                          <w:rFonts w:cs="Times New Roman"/>
                          <w:szCs w:val="20"/>
                        </w:rPr>
                        <w:tag w:val="goog_rdk_770"/>
                        <w:id w:val="651142031"/>
                        <w:showingPlcHdr/>
                      </w:sdtPr>
                      <w:sdtContent>
                        <w:r w:rsidR="004B772A">
                          <w:t>    </w:t>
                        </w:r>
                      </w:sdtContent>
                    </w:sdt>
                  </w:sdtContent>
                </w:sdt>
              </w:p>
            </w:sdtContent>
          </w:sdt>
        </w:tc>
        <w:tc>
          <w:tcPr>
            <w:tcW w:w="0" w:type="auto"/>
          </w:tcPr>
          <w:p w14:paraId="5977FCE1"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6B2D3135"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 xml:space="preserve">Korea </w:t>
            </w:r>
          </w:p>
        </w:tc>
        <w:tc>
          <w:tcPr>
            <w:tcW w:w="0" w:type="auto"/>
          </w:tcPr>
          <w:p w14:paraId="3FC5A68E"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grid, renewables</w:t>
            </w:r>
          </w:p>
        </w:tc>
      </w:tr>
      <w:tr w:rsidR="000055AD" w14:paraId="564B5463"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5E40849D"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{"citationID":"1NtKO0Zm","properties":{"formattedCitation":"(C. Kim 2021)","plainCitation":"(C. Kim 2021)","noteIndex":0},"citationItems":[{"id":45439,"uris":["http://zotero.org/groups/52011/items/M69M85QL"],"itemData":{"id":45439,"type":"article-journal","abstract":"Recently, renewable energy has dramatically grown in the power sector. In 2017, the global renewable energy capacity reached a total of 2,195 GW, and solar PV and wind power led to most global renewable energy growth. However, there are still numerous challenges to deploying renewable energy in power plants and buildings. Therefore, many countries are attempting to reform renewable energy policies to overcome drawbacks, using mandatory regulations, incentives and subsidies, and other support programs. In Korea, renewable energy policy started in the 1980s, but it has not been a high priority in national energy policies. However, in 2017, the government pledged a phase-out of nuclear plants and suggested renewable energy as alternative national energy sources for the future. Therefore, this study investigated the structure, drivers, and challenges of renewable energy policies in Korea. There have been many challenges in renewable energy policies to develop localized plans for Korea (i.e., rosy prospects of renewable energy projects, physical space restraints for renewable installations in buildings, and quantitative supply-oriented renewable policies). The outcome of this study would contribute to the development of improved policies to achieve the Renewable Energy 3020 Plan in Korea. © 2021 Elsevier Ltd","container-title":"Renewable and Sustainable Energy Reviews","DOI":"10.1016/j.rser.2021.110870","title":"A review of the deployment programs, impact, and barriers of renewable energy policies in Korea","URL":"https://www.scopus.com/inward/record.uri?eid=2-s2.0-85105273026&amp;doi=10.1016%2fj.rser.2021.110870&amp;partnerID=40&amp;md5=f81f1ead2b5e718b6eff9be034dd83a4","volume":"144","author":[{"family":"Kim","given":"C."}],"issued":{"date-parts":[["2021"]]}}}],"schema":"https://github.com/citation-style-language/schema/raw/master/csl-citation.json"} </w:instrText>
            </w:r>
            <w:r>
              <w:rPr>
                <w:rFonts w:cs="Times New Roman"/>
                <w:szCs w:val="20"/>
              </w:rPr>
              <w:fldChar w:fldCharType="separate"/>
            </w:r>
            <w:r>
              <w:rPr>
                <w:rFonts w:cs="Times New Roman"/>
                <w:szCs w:val="20"/>
              </w:rPr>
              <w:t>(C. Kim 2021)</w:t>
            </w:r>
            <w:r>
              <w:rPr>
                <w:rFonts w:cs="Times New Roman"/>
                <w:szCs w:val="20"/>
              </w:rPr>
              <w:fldChar w:fldCharType="end"/>
            </w:r>
          </w:p>
        </w:tc>
        <w:tc>
          <w:tcPr>
            <w:tcW w:w="0" w:type="auto"/>
          </w:tcPr>
          <w:sdt>
            <w:sdtPr>
              <w:rPr>
                <w:rFonts w:cs="Times New Roman"/>
                <w:szCs w:val="20"/>
              </w:rPr>
              <w:tag w:val="goog_rdk_791"/>
              <w:id w:val="-1192683336"/>
            </w:sdtPr>
            <w:sdtContent>
              <w:p w14:paraId="6C2C6B33"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788"/>
                    <w:id w:val="-1782488917"/>
                  </w:sdtPr>
                  <w:sdtContent>
                    <w:sdt>
                      <w:sdtPr>
                        <w:rPr>
                          <w:rFonts w:cs="Times New Roman"/>
                          <w:szCs w:val="20"/>
                        </w:rPr>
                        <w:tag w:val="goog_rdk_789"/>
                        <w:id w:val="-900899275"/>
                      </w:sdtPr>
                      <w:sdtContent>
                        <w:r w:rsidR="004B772A">
                          <w:rPr>
                            <w:rFonts w:eastAsia="Calibri" w:cs="Times New Roman"/>
                            <w:szCs w:val="20"/>
                          </w:rPr>
                          <w:t>32</w:t>
                        </w:r>
                      </w:sdtContent>
                    </w:sdt>
                    <w:sdt>
                      <w:sdtPr>
                        <w:rPr>
                          <w:rFonts w:cs="Times New Roman"/>
                          <w:szCs w:val="20"/>
                        </w:rPr>
                        <w:tag w:val="goog_rdk_790"/>
                        <w:id w:val="1558049403"/>
                        <w:showingPlcHdr/>
                      </w:sdtPr>
                      <w:sdtContent>
                        <w:r w:rsidR="004B772A">
                          <w:t>    </w:t>
                        </w:r>
                      </w:sdtContent>
                    </w:sdt>
                  </w:sdtContent>
                </w:sdt>
              </w:p>
            </w:sdtContent>
          </w:sdt>
        </w:tc>
        <w:tc>
          <w:tcPr>
            <w:tcW w:w="0" w:type="auto"/>
          </w:tcPr>
          <w:sdt>
            <w:sdtPr>
              <w:rPr>
                <w:rFonts w:cs="Times New Roman"/>
                <w:szCs w:val="20"/>
              </w:rPr>
              <w:tag w:val="goog_rdk_795"/>
              <w:id w:val="1010061104"/>
            </w:sdtPr>
            <w:sdtContent>
              <w:p w14:paraId="7F198081"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792"/>
                    <w:id w:val="-1659192995"/>
                  </w:sdtPr>
                  <w:sdtContent>
                    <w:sdt>
                      <w:sdtPr>
                        <w:rPr>
                          <w:rFonts w:cs="Times New Roman"/>
                          <w:szCs w:val="20"/>
                        </w:rPr>
                        <w:tag w:val="goog_rdk_793"/>
                        <w:id w:val="1021347099"/>
                      </w:sdtPr>
                      <w:sdtContent>
                        <w:r w:rsidR="004B772A">
                          <w:rPr>
                            <w:rFonts w:eastAsia="Calibri" w:cs="Times New Roman"/>
                            <w:szCs w:val="20"/>
                          </w:rPr>
                          <w:t>Strategists</w:t>
                        </w:r>
                      </w:sdtContent>
                    </w:sdt>
                    <w:sdt>
                      <w:sdtPr>
                        <w:rPr>
                          <w:rFonts w:cs="Times New Roman"/>
                          <w:szCs w:val="20"/>
                        </w:rPr>
                        <w:tag w:val="goog_rdk_794"/>
                        <w:id w:val="-1805888893"/>
                        <w:showingPlcHdr/>
                      </w:sdtPr>
                      <w:sdtContent>
                        <w:r w:rsidR="004B772A">
                          <w:t>    </w:t>
                        </w:r>
                      </w:sdtContent>
                    </w:sdt>
                  </w:sdtContent>
                </w:sdt>
              </w:p>
            </w:sdtContent>
          </w:sdt>
        </w:tc>
        <w:tc>
          <w:tcPr>
            <w:tcW w:w="0" w:type="auto"/>
          </w:tcPr>
          <w:p w14:paraId="1063D42B"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60CF4079"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Korea</w:t>
            </w:r>
          </w:p>
        </w:tc>
        <w:tc>
          <w:tcPr>
            <w:tcW w:w="0" w:type="auto"/>
          </w:tcPr>
          <w:p w14:paraId="09E94D6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 wind</w:t>
            </w:r>
          </w:p>
        </w:tc>
      </w:tr>
      <w:tr w:rsidR="000055AD" w14:paraId="4F607236"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2F1505B" w14:textId="77777777" w:rsidR="000055AD" w:rsidRDefault="004B772A">
            <w:pPr>
              <w:jc w:val="left"/>
              <w:rPr>
                <w:rFonts w:cs="Times New Roman"/>
                <w:szCs w:val="20"/>
              </w:rPr>
            </w:pPr>
            <w:r>
              <w:rPr>
                <w:rFonts w:cs="Times New Roman"/>
                <w:szCs w:val="20"/>
              </w:rPr>
              <w:lastRenderedPageBreak/>
              <w:fldChar w:fldCharType="begin"/>
            </w:r>
            <w:r>
              <w:rPr>
                <w:rFonts w:cs="Times New Roman"/>
                <w:szCs w:val="20"/>
              </w:rPr>
              <w:instrText xml:space="preserve"> ADDIN ZOTERO_ITEM CSL_CITATION {"citationID":"2KWnkU6w","properties":{"formattedCitation":"(Kruger and Eberhard 2018)","plainCitation":"(Kruger and Eberhard 2018)","noteIndex":0},"citationItems":[{"id":45734,"uris":["http://zotero.org/groups/52011/items/HVIVENBP"],"itemData":{"id":45734,"type":"article-journal","abstract":"Sub-Saharan Africa desperately needs more electricity. Recent years have seen private investment in renewable energy projects breaking through in the region, primarily driven by well-designed and implemented auction programs. We review three renewable energy auction programs in the region to improve our understanding of the auction design and implementation elements that have enabled this important transition: the South African Renewable Energy Independent Power Producers Procurement Program (REIPPPP); the GET FiT solar facility in Uganda; and the first round of the Scaling Solar program in Zambia. Our analysis shows that a well-designed and implemented program that adequately deals with risks for both the procuring authorities and investors is able to deliver good investment and price outcomes in sub-Saharan Africa. This article is categorized under: Photovoltaics &gt; Climate and Environment Energy Policy and Planning &gt; Climate and Environment Photovoltaics &gt; Economics and Policy Energy Policy and Planning &gt; Economics and Policy. © 2018 Wiley Periodicals, Inc.","container-title":"Wiley Interdisciplinary Reviews: Energy and Environment","DOI":"10.1002/wene.295","issue":"4","title":"Renewable energy auctions in sub-Saharan Africa: Comparing the South African, Ugandan, and Zambian Programs","URL":"https://www.scopus.com/inward/record.uri?eid=2-s2.0-85044350656&amp;doi=10.1002%2fwene.295&amp;partnerID=40&amp;md5=270fed46a34438783590daf44493f410","volume":"7","author":[{"family":"Kruger","given":"W."},{"family":"Eberhard","given":"A."}],"issued":{"date-parts":[["2018"]]}}}],"schema":"https://github.com/citation-style-language/schema/raw/master/csl-citation.json"} </w:instrText>
            </w:r>
            <w:r>
              <w:rPr>
                <w:rFonts w:cs="Times New Roman"/>
                <w:szCs w:val="20"/>
              </w:rPr>
              <w:fldChar w:fldCharType="separate"/>
            </w:r>
            <w:r>
              <w:rPr>
                <w:rFonts w:cs="Times New Roman"/>
                <w:szCs w:val="20"/>
              </w:rPr>
              <w:t>(Kruger and Eberhard 2018)</w:t>
            </w:r>
            <w:r>
              <w:rPr>
                <w:rFonts w:cs="Times New Roman"/>
                <w:szCs w:val="20"/>
              </w:rPr>
              <w:fldChar w:fldCharType="end"/>
            </w:r>
          </w:p>
        </w:tc>
        <w:tc>
          <w:tcPr>
            <w:tcW w:w="0" w:type="auto"/>
          </w:tcPr>
          <w:sdt>
            <w:sdtPr>
              <w:rPr>
                <w:rFonts w:cs="Times New Roman"/>
                <w:szCs w:val="20"/>
              </w:rPr>
              <w:tag w:val="goog_rdk_815"/>
              <w:id w:val="1559594094"/>
            </w:sdtPr>
            <w:sdtContent>
              <w:p w14:paraId="1EA4663D"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812"/>
                    <w:id w:val="-754512474"/>
                  </w:sdtPr>
                  <w:sdtContent>
                    <w:sdt>
                      <w:sdtPr>
                        <w:rPr>
                          <w:rFonts w:cs="Times New Roman"/>
                          <w:szCs w:val="20"/>
                        </w:rPr>
                        <w:tag w:val="goog_rdk_813"/>
                        <w:id w:val="-381709932"/>
                      </w:sdtPr>
                      <w:sdtContent>
                        <w:r w:rsidR="004B772A">
                          <w:rPr>
                            <w:rFonts w:eastAsia="Calibri" w:cs="Times New Roman"/>
                            <w:szCs w:val="20"/>
                          </w:rPr>
                          <w:t>33</w:t>
                        </w:r>
                      </w:sdtContent>
                    </w:sdt>
                    <w:sdt>
                      <w:sdtPr>
                        <w:rPr>
                          <w:rFonts w:cs="Times New Roman"/>
                          <w:szCs w:val="20"/>
                        </w:rPr>
                        <w:tag w:val="goog_rdk_814"/>
                        <w:id w:val="1013953565"/>
                        <w:showingPlcHdr/>
                      </w:sdtPr>
                      <w:sdtContent>
                        <w:r w:rsidR="004B772A">
                          <w:t>    </w:t>
                        </w:r>
                      </w:sdtContent>
                    </w:sdt>
                  </w:sdtContent>
                </w:sdt>
              </w:p>
            </w:sdtContent>
          </w:sdt>
        </w:tc>
        <w:tc>
          <w:tcPr>
            <w:tcW w:w="0" w:type="auto"/>
          </w:tcPr>
          <w:sdt>
            <w:sdtPr>
              <w:rPr>
                <w:rFonts w:cs="Times New Roman"/>
                <w:szCs w:val="20"/>
              </w:rPr>
              <w:tag w:val="goog_rdk_819"/>
              <w:id w:val="45419759"/>
            </w:sdtPr>
            <w:sdtContent>
              <w:p w14:paraId="23F2E7F6"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816"/>
                    <w:id w:val="1825123128"/>
                  </w:sdtPr>
                  <w:sdtContent>
                    <w:sdt>
                      <w:sdtPr>
                        <w:rPr>
                          <w:rFonts w:cs="Times New Roman"/>
                          <w:szCs w:val="20"/>
                        </w:rPr>
                        <w:tag w:val="goog_rdk_817"/>
                        <w:id w:val="1022716849"/>
                      </w:sdtPr>
                      <w:sdtContent>
                        <w:r w:rsidR="004B772A">
                          <w:rPr>
                            <w:rFonts w:eastAsia="Calibri" w:cs="Times New Roman"/>
                            <w:szCs w:val="20"/>
                          </w:rPr>
                          <w:t>Adaptive Pragmatists</w:t>
                        </w:r>
                      </w:sdtContent>
                    </w:sdt>
                    <w:sdt>
                      <w:sdtPr>
                        <w:rPr>
                          <w:rFonts w:cs="Times New Roman"/>
                          <w:szCs w:val="20"/>
                        </w:rPr>
                        <w:tag w:val="goog_rdk_818"/>
                        <w:id w:val="-542296436"/>
                        <w:showingPlcHdr/>
                      </w:sdtPr>
                      <w:sdtContent>
                        <w:r w:rsidR="004B772A">
                          <w:t>    </w:t>
                        </w:r>
                      </w:sdtContent>
                    </w:sdt>
                  </w:sdtContent>
                </w:sdt>
              </w:p>
            </w:sdtContent>
          </w:sdt>
        </w:tc>
        <w:tc>
          <w:tcPr>
            <w:tcW w:w="0" w:type="auto"/>
          </w:tcPr>
          <w:p w14:paraId="38B98BE1"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41380377"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South Africa, Uganda</w:t>
            </w:r>
          </w:p>
        </w:tc>
        <w:tc>
          <w:tcPr>
            <w:tcW w:w="0" w:type="auto"/>
          </w:tcPr>
          <w:p w14:paraId="1CE9C612"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w:t>
            </w:r>
          </w:p>
        </w:tc>
      </w:tr>
      <w:tr w:rsidR="000055AD" w14:paraId="6671913E"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420A5B02"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{"citationID":"XPPYnWA7","properties":{"formattedCitation":"(Markard, Rinscheid, and Widdel 2021)","plainCitation":"(Markard, Rinscheid, and Widdel 2021)","noteIndex":0},"citationItems":[{"id":33830,"uris":["http://zotero.org/groups/52011/items/LQFKTQ4C"],"itemData":{"id":33830,"type":"article-journal","container-title":"Environmental Innovation and Societal Transitions","DOI":"10.1016/j.eist.2021.08.001","ISSN":"22104224","journalAbbreviation":"Environmental Innovation and Societal Transitions","language":"en","page":"315-331","source":"DOI.org (Crossref)","title":"Analyzing transitions through the lens of discourse networks: Coal phase-out in Germany","title-short":"Analyzing transitions through the lens of discourse networks","volume":"40","author":[{"family":"Markard","given":"Jochen"},{"family":"Rinscheid","given":"Adrian"},{"family":"Widdel","given":"Linda"}],"issued":{"date-parts":[["2021",9]]}}}],"schema":"https://github.com/citation-style-language/schema/raw/master/csl-citation.json"} </w:instrText>
            </w:r>
            <w:r>
              <w:rPr>
                <w:rFonts w:cs="Times New Roman"/>
                <w:szCs w:val="20"/>
              </w:rPr>
              <w:fldChar w:fldCharType="separate"/>
            </w:r>
            <w:r>
              <w:rPr>
                <w:rFonts w:cs="Times New Roman"/>
                <w:szCs w:val="20"/>
              </w:rPr>
              <w:t>(Markard, Rinscheid, and Widdel 2021)</w:t>
            </w:r>
            <w:r>
              <w:rPr>
                <w:rFonts w:cs="Times New Roman"/>
                <w:szCs w:val="20"/>
              </w:rPr>
              <w:fldChar w:fldCharType="end"/>
            </w:r>
          </w:p>
        </w:tc>
        <w:tc>
          <w:tcPr>
            <w:tcW w:w="0" w:type="auto"/>
          </w:tcPr>
          <w:sdt>
            <w:sdtPr>
              <w:rPr>
                <w:rFonts w:cs="Times New Roman"/>
                <w:szCs w:val="20"/>
              </w:rPr>
              <w:tag w:val="goog_rdk_839"/>
              <w:id w:val="522367718"/>
            </w:sdtPr>
            <w:sdtContent>
              <w:p w14:paraId="225229F4"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836"/>
                    <w:id w:val="974158157"/>
                  </w:sdtPr>
                  <w:sdtContent>
                    <w:sdt>
                      <w:sdtPr>
                        <w:rPr>
                          <w:rFonts w:cs="Times New Roman"/>
                          <w:szCs w:val="20"/>
                        </w:rPr>
                        <w:tag w:val="goog_rdk_837"/>
                        <w:id w:val="-229515523"/>
                      </w:sdtPr>
                      <w:sdtContent>
                        <w:r w:rsidR="004B772A">
                          <w:rPr>
                            <w:rFonts w:eastAsia="Calibri" w:cs="Times New Roman"/>
                            <w:szCs w:val="20"/>
                          </w:rPr>
                          <w:t>34</w:t>
                        </w:r>
                      </w:sdtContent>
                    </w:sdt>
                    <w:sdt>
                      <w:sdtPr>
                        <w:rPr>
                          <w:rFonts w:cs="Times New Roman"/>
                          <w:szCs w:val="20"/>
                        </w:rPr>
                        <w:tag w:val="goog_rdk_838"/>
                        <w:id w:val="-1894919599"/>
                        <w:showingPlcHdr/>
                      </w:sdtPr>
                      <w:sdtContent>
                        <w:r w:rsidR="004B772A">
                          <w:t>    </w:t>
                        </w:r>
                      </w:sdtContent>
                    </w:sdt>
                  </w:sdtContent>
                </w:sdt>
              </w:p>
            </w:sdtContent>
          </w:sdt>
        </w:tc>
        <w:tc>
          <w:tcPr>
            <w:tcW w:w="0" w:type="auto"/>
          </w:tcPr>
          <w:sdt>
            <w:sdtPr>
              <w:rPr>
                <w:rFonts w:cs="Times New Roman"/>
                <w:szCs w:val="20"/>
              </w:rPr>
              <w:tag w:val="goog_rdk_843"/>
              <w:id w:val="1326454243"/>
            </w:sdtPr>
            <w:sdtContent>
              <w:p w14:paraId="45204165"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840"/>
                    <w:id w:val="-3061724"/>
                  </w:sdtPr>
                  <w:sdtContent>
                    <w:sdt>
                      <w:sdtPr>
                        <w:rPr>
                          <w:rFonts w:cs="Times New Roman"/>
                          <w:szCs w:val="20"/>
                        </w:rPr>
                        <w:tag w:val="goog_rdk_841"/>
                        <w:id w:val="1984829761"/>
                      </w:sdtPr>
                      <w:sdtContent>
                        <w:r w:rsidR="004B772A">
                          <w:rPr>
                            <w:rFonts w:eastAsia="Calibri" w:cs="Times New Roman"/>
                            <w:szCs w:val="20"/>
                          </w:rPr>
                          <w:t>Coal Dependent &amp; Climate Leaders</w:t>
                        </w:r>
                      </w:sdtContent>
                    </w:sdt>
                    <w:sdt>
                      <w:sdtPr>
                        <w:rPr>
                          <w:rFonts w:cs="Times New Roman"/>
                          <w:szCs w:val="20"/>
                        </w:rPr>
                        <w:tag w:val="goog_rdk_842"/>
                        <w:id w:val="950520143"/>
                        <w:showingPlcHdr/>
                      </w:sdtPr>
                      <w:sdtContent>
                        <w:r w:rsidR="004B772A">
                          <w:t>    </w:t>
                        </w:r>
                      </w:sdtContent>
                    </w:sdt>
                  </w:sdtContent>
                </w:sdt>
              </w:p>
            </w:sdtContent>
          </w:sdt>
        </w:tc>
        <w:tc>
          <w:tcPr>
            <w:tcW w:w="0" w:type="auto"/>
          </w:tcPr>
          <w:p w14:paraId="01798BAC"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2EF00001"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Germany</w:t>
            </w:r>
          </w:p>
        </w:tc>
        <w:tc>
          <w:tcPr>
            <w:tcW w:w="0" w:type="auto"/>
          </w:tcPr>
          <w:p w14:paraId="483CFAE2"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coal</w:t>
            </w:r>
          </w:p>
        </w:tc>
      </w:tr>
      <w:tr w:rsidR="000055AD" w14:paraId="70549941"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DDDF7A7"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{"citationID":"Ae97Me0m","properties":{"formattedCitation":"(Matsuo and Schmidt 2019)","plainCitation":"(Matsuo and Schmidt 2019)","noteIndex":0},"citationItems":[{"id":47234,"uris":["http://zotero.org/groups/52011/items/B25N7ZJ6"],"itemData":{"id":47234,"type":"article-journal","abstract":"Green industrial policies around renewable energy (RE) are growing increasingly prevalent in emerging economy contexts as a means to foster low-carbon industrialization pathways. However, policymakers often face a tradeoff in their policy designs. In this paper, we focus on the tradeoff between minimizing the cost of low-carbon energy generation to fuel traditional input-intensive industrialization strategies, and implementing potentially costly measures to build local industries around low-carbon energy technologies. Specifically, we utilize the cases of Mexico and South Africa to investigate how each country's distinct prioritization of these two objectives led to a divergence of their RE auction designs and outcomes. Specifically, using data on the involvement of local and foreign actors in Mexican and South African RE projects, policy documents, and interviews with public and private stakeholders in the two countries, we show how each country's policy design shaped RE market and bid price developments, and the formation of local RE value chains. We find that the prioritization of low-cost RE generation can result in a greater reliance on existing foreign value chains and capital, without building the local capabilities that could result in greater long-term benefits for the market. We further discuss the implications of our results for policymakers, focusing on providing recommendations for RE industrial policy design in general, and the calibration of local content incentives in particular. (C) 2019 Elsevier Ltd. All rights reserved.","container-title":"World Development","DOI":"10.1016/j.worlddev.2019.05.005","page":"11-26","title":"Managing tradeoffs in green industrial policies: The role of renewable energy policy design","volume":"122","author":[{"family":"Matsuo","given":"Tyeler"},{"family":"Schmidt","given":"Tobias S."}],"issued":{"date-parts":[["2019"]]}}}],"schema":"https://github.com/citation-style-language/schema/raw/master/csl-citation.json"} </w:instrText>
            </w:r>
            <w:r>
              <w:rPr>
                <w:rFonts w:cs="Times New Roman"/>
                <w:szCs w:val="20"/>
              </w:rPr>
              <w:fldChar w:fldCharType="separate"/>
            </w:r>
            <w:r>
              <w:rPr>
                <w:rFonts w:cs="Times New Roman"/>
                <w:szCs w:val="20"/>
              </w:rPr>
              <w:t>(Matsuo and Schmidt 2019)</w:t>
            </w:r>
            <w:r>
              <w:rPr>
                <w:rFonts w:cs="Times New Roman"/>
                <w:szCs w:val="20"/>
              </w:rPr>
              <w:fldChar w:fldCharType="end"/>
            </w:r>
          </w:p>
        </w:tc>
        <w:tc>
          <w:tcPr>
            <w:tcW w:w="0" w:type="auto"/>
          </w:tcPr>
          <w:sdt>
            <w:sdtPr>
              <w:rPr>
                <w:rFonts w:cs="Times New Roman"/>
                <w:szCs w:val="20"/>
              </w:rPr>
              <w:tag w:val="goog_rdk_863"/>
              <w:id w:val="-1195831544"/>
            </w:sdtPr>
            <w:sdtContent>
              <w:p w14:paraId="37728C5F"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860"/>
                    <w:id w:val="-1679460798"/>
                  </w:sdtPr>
                  <w:sdtContent>
                    <w:sdt>
                      <w:sdtPr>
                        <w:rPr>
                          <w:rFonts w:cs="Times New Roman"/>
                          <w:szCs w:val="20"/>
                        </w:rPr>
                        <w:tag w:val="goog_rdk_861"/>
                        <w:id w:val="-1326008120"/>
                      </w:sdtPr>
                      <w:sdtContent>
                        <w:r w:rsidR="004B772A">
                          <w:rPr>
                            <w:rFonts w:eastAsia="Calibri" w:cs="Times New Roman"/>
                            <w:szCs w:val="20"/>
                          </w:rPr>
                          <w:t>35</w:t>
                        </w:r>
                      </w:sdtContent>
                    </w:sdt>
                    <w:sdt>
                      <w:sdtPr>
                        <w:rPr>
                          <w:rFonts w:cs="Times New Roman"/>
                          <w:szCs w:val="20"/>
                        </w:rPr>
                        <w:tag w:val="goog_rdk_862"/>
                        <w:id w:val="1905103655"/>
                        <w:showingPlcHdr/>
                      </w:sdtPr>
                      <w:sdtContent>
                        <w:r w:rsidR="004B772A">
                          <w:t>    </w:t>
                        </w:r>
                      </w:sdtContent>
                    </w:sdt>
                  </w:sdtContent>
                </w:sdt>
              </w:p>
            </w:sdtContent>
          </w:sdt>
        </w:tc>
        <w:tc>
          <w:tcPr>
            <w:tcW w:w="0" w:type="auto"/>
          </w:tcPr>
          <w:sdt>
            <w:sdtPr>
              <w:rPr>
                <w:rFonts w:cs="Times New Roman"/>
                <w:szCs w:val="20"/>
              </w:rPr>
              <w:tag w:val="goog_rdk_867"/>
              <w:id w:val="726498442"/>
            </w:sdtPr>
            <w:sdtContent>
              <w:p w14:paraId="407FF606"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864"/>
                    <w:id w:val="1157748122"/>
                  </w:sdtPr>
                  <w:sdtContent>
                    <w:sdt>
                      <w:sdtPr>
                        <w:rPr>
                          <w:rFonts w:cs="Times New Roman"/>
                          <w:szCs w:val="20"/>
                        </w:rPr>
                        <w:tag w:val="goog_rdk_865"/>
                        <w:id w:val="-80873447"/>
                      </w:sdtPr>
                      <w:sdtContent>
                        <w:r w:rsidR="004B772A">
                          <w:rPr>
                            <w:rFonts w:eastAsia="Calibri" w:cs="Times New Roman"/>
                            <w:szCs w:val="20"/>
                          </w:rPr>
                          <w:t>Adaptive Pragmatists</w:t>
                        </w:r>
                      </w:sdtContent>
                    </w:sdt>
                    <w:sdt>
                      <w:sdtPr>
                        <w:rPr>
                          <w:rFonts w:cs="Times New Roman"/>
                          <w:szCs w:val="20"/>
                        </w:rPr>
                        <w:tag w:val="goog_rdk_866"/>
                        <w:id w:val="-143532573"/>
                        <w:showingPlcHdr/>
                      </w:sdtPr>
                      <w:sdtContent>
                        <w:r w:rsidR="004B772A">
                          <w:t>    </w:t>
                        </w:r>
                      </w:sdtContent>
                    </w:sdt>
                  </w:sdtContent>
                </w:sdt>
              </w:p>
            </w:sdtContent>
          </w:sdt>
        </w:tc>
        <w:tc>
          <w:tcPr>
            <w:tcW w:w="0" w:type="auto"/>
          </w:tcPr>
          <w:p w14:paraId="080E1209"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1ED68C2F"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Mexico, South Africa</w:t>
            </w:r>
          </w:p>
        </w:tc>
        <w:tc>
          <w:tcPr>
            <w:tcW w:w="0" w:type="auto"/>
          </w:tcPr>
          <w:p w14:paraId="27CCA14C"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 wind</w:t>
            </w:r>
          </w:p>
        </w:tc>
      </w:tr>
      <w:tr w:rsidR="000055AD" w14:paraId="45D3D32E"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788838BD"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{"citationID":"kBZoMkMo","properties":{"formattedCitation":"(Millar et al. 2020)","plainCitation":"(Millar et al. 2020)","noteIndex":0},"citationItems":[{"id":63549,"uris":["http://zotero.org/groups/52011/items/4D8GQPI7"],"itemData":{"id":63549,"type":"article-journal","container-title":"Environmental Politics","DOI":"10.1080/09644016.2020.1825302","ISSN":"1743-8934","issue":"5","note":"publisher: Informa UK Limited","page":"791–810","title":"Self-reinforcing and self-undermining feedbacks in subnational climate policy implementation","volume":"30","author":[{"family":"Millar","given":"Heather"},{"family":"Bourgeois","given":"Eve"},{"family":"Bernstein","given":"Steven"},{"family":"Hoffmann","given":"Matthew"}],"issued":{"date-parts":[["2020",10]]}}}],"schema":"https://github.com/citation-style-language/schema/raw/master/csl-citation.json"} </w:instrText>
            </w:r>
            <w:r>
              <w:rPr>
                <w:rFonts w:cs="Times New Roman"/>
                <w:szCs w:val="20"/>
              </w:rPr>
              <w:fldChar w:fldCharType="separate"/>
            </w:r>
            <w:r>
              <w:rPr>
                <w:rFonts w:cs="Times New Roman"/>
                <w:szCs w:val="20"/>
              </w:rPr>
              <w:t>(Millar et al. 2020)</w:t>
            </w:r>
            <w:r>
              <w:rPr>
                <w:rFonts w:cs="Times New Roman"/>
                <w:szCs w:val="20"/>
              </w:rPr>
              <w:fldChar w:fldCharType="end"/>
            </w:r>
          </w:p>
        </w:tc>
        <w:tc>
          <w:tcPr>
            <w:tcW w:w="0" w:type="auto"/>
          </w:tcPr>
          <w:sdt>
            <w:sdtPr>
              <w:rPr>
                <w:rFonts w:cs="Times New Roman"/>
                <w:szCs w:val="20"/>
              </w:rPr>
              <w:tag w:val="goog_rdk_887"/>
              <w:id w:val="1916064101"/>
            </w:sdtPr>
            <w:sdtContent>
              <w:p w14:paraId="1CF59AAE"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884"/>
                    <w:id w:val="2100812069"/>
                  </w:sdtPr>
                  <w:sdtContent>
                    <w:sdt>
                      <w:sdtPr>
                        <w:rPr>
                          <w:rFonts w:cs="Times New Roman"/>
                          <w:szCs w:val="20"/>
                        </w:rPr>
                        <w:tag w:val="goog_rdk_885"/>
                        <w:id w:val="-1867670052"/>
                      </w:sdtPr>
                      <w:sdtContent>
                        <w:r w:rsidR="004B772A">
                          <w:rPr>
                            <w:rFonts w:eastAsia="Calibri" w:cs="Times New Roman"/>
                            <w:szCs w:val="20"/>
                          </w:rPr>
                          <w:t>36</w:t>
                        </w:r>
                      </w:sdtContent>
                    </w:sdt>
                    <w:sdt>
                      <w:sdtPr>
                        <w:rPr>
                          <w:rFonts w:cs="Times New Roman"/>
                          <w:szCs w:val="20"/>
                        </w:rPr>
                        <w:tag w:val="goog_rdk_886"/>
                        <w:id w:val="700428054"/>
                        <w:showingPlcHdr/>
                      </w:sdtPr>
                      <w:sdtContent>
                        <w:r w:rsidR="004B772A">
                          <w:t>    </w:t>
                        </w:r>
                      </w:sdtContent>
                    </w:sdt>
                  </w:sdtContent>
                </w:sdt>
              </w:p>
            </w:sdtContent>
          </w:sdt>
        </w:tc>
        <w:tc>
          <w:tcPr>
            <w:tcW w:w="0" w:type="auto"/>
          </w:tcPr>
          <w:sdt>
            <w:sdtPr>
              <w:rPr>
                <w:rFonts w:cs="Times New Roman"/>
                <w:szCs w:val="20"/>
              </w:rPr>
              <w:tag w:val="goog_rdk_891"/>
              <w:id w:val="431116718"/>
            </w:sdtPr>
            <w:sdtContent>
              <w:p w14:paraId="153BCDF8"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888"/>
                    <w:id w:val="665693991"/>
                  </w:sdtPr>
                  <w:sdtContent>
                    <w:sdt>
                      <w:sdtPr>
                        <w:rPr>
                          <w:rFonts w:cs="Times New Roman"/>
                          <w:szCs w:val="20"/>
                        </w:rPr>
                        <w:tag w:val="goog_rdk_889"/>
                        <w:id w:val="1144137545"/>
                      </w:sdtPr>
                      <w:sdtContent>
                        <w:r w:rsidR="004B772A">
                          <w:rPr>
                            <w:rFonts w:eastAsia="Calibri" w:cs="Times New Roman"/>
                            <w:szCs w:val="20"/>
                          </w:rPr>
                          <w:t>Coal Dependent &amp; Climate Leaders</w:t>
                        </w:r>
                      </w:sdtContent>
                    </w:sdt>
                    <w:sdt>
                      <w:sdtPr>
                        <w:rPr>
                          <w:rFonts w:cs="Times New Roman"/>
                          <w:szCs w:val="20"/>
                        </w:rPr>
                        <w:tag w:val="goog_rdk_890"/>
                        <w:id w:val="1669726286"/>
                        <w:showingPlcHdr/>
                      </w:sdtPr>
                      <w:sdtContent>
                        <w:r w:rsidR="004B772A">
                          <w:t>    </w:t>
                        </w:r>
                      </w:sdtContent>
                    </w:sdt>
                  </w:sdtContent>
                </w:sdt>
              </w:p>
            </w:sdtContent>
          </w:sdt>
        </w:tc>
        <w:tc>
          <w:tcPr>
            <w:tcW w:w="0" w:type="auto"/>
          </w:tcPr>
          <w:p w14:paraId="325964E2"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2A7FF803"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Ontario</w:t>
            </w:r>
          </w:p>
        </w:tc>
        <w:tc>
          <w:tcPr>
            <w:tcW w:w="0" w:type="auto"/>
          </w:tcPr>
          <w:p w14:paraId="0A5A50A0"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coal</w:t>
            </w:r>
          </w:p>
        </w:tc>
      </w:tr>
      <w:tr w:rsidR="000055AD" w14:paraId="12E4C754"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A59695E"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{"citationID":"FkDoO9oD","properties":{"formattedCitation":"(Mirzania, Balta-Ozkan, and Marais 2020)","plainCitation":"(Mirzania, Balta-Ozkan, and Marais 2020)","noteIndex":0},"citationItems":[{"id":63548,"uris":["http://zotero.org/groups/52011/items/X7RIXLBW"],"itemData":{"id":63548,"type":"article-journal","container-title":"Energy Research &amp;amp; Social Science","DOI":"10.1016/j.erss.2020.101729","ISSN":"2214-6296","note":"publisher: Elsevier BV","page":"101729","title":"One technology, two pathways? Strategic Niche Management and the diverging diffusion of concentrated solar power in South Africa and the United States","volume":"69","author":[{"family":"Mirzania","given":"Pegah"},{"family":"Balta-Ozkan","given":"Nazmiye"},{"family":"Marais","given":"Lochner"}],"issued":{"date-parts":[["2020",11]]}}}],"schema":"https://github.com/citation-style-language/schema/raw/master/csl-citation.json"} </w:instrText>
            </w:r>
            <w:r>
              <w:rPr>
                <w:rFonts w:cs="Times New Roman"/>
                <w:szCs w:val="20"/>
              </w:rPr>
              <w:fldChar w:fldCharType="separate"/>
            </w:r>
            <w:r>
              <w:rPr>
                <w:rFonts w:cs="Times New Roman"/>
                <w:szCs w:val="20"/>
              </w:rPr>
              <w:t>(Mirzania, Balta-Ozkan, and Marais 2020)</w:t>
            </w:r>
            <w:r>
              <w:rPr>
                <w:rFonts w:cs="Times New Roman"/>
                <w:szCs w:val="20"/>
              </w:rPr>
              <w:fldChar w:fldCharType="end"/>
            </w:r>
          </w:p>
        </w:tc>
        <w:tc>
          <w:tcPr>
            <w:tcW w:w="0" w:type="auto"/>
          </w:tcPr>
          <w:sdt>
            <w:sdtPr>
              <w:rPr>
                <w:rFonts w:cs="Times New Roman"/>
                <w:szCs w:val="20"/>
              </w:rPr>
              <w:tag w:val="goog_rdk_911"/>
              <w:id w:val="1697863900"/>
            </w:sdtPr>
            <w:sdtContent>
              <w:p w14:paraId="032C3D4E"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908"/>
                    <w:id w:val="-1627056849"/>
                  </w:sdtPr>
                  <w:sdtContent>
                    <w:sdt>
                      <w:sdtPr>
                        <w:rPr>
                          <w:rFonts w:cs="Times New Roman"/>
                          <w:szCs w:val="20"/>
                        </w:rPr>
                        <w:tag w:val="goog_rdk_909"/>
                        <w:id w:val="-431287595"/>
                      </w:sdtPr>
                      <w:sdtContent>
                        <w:r w:rsidR="004B772A">
                          <w:rPr>
                            <w:rFonts w:eastAsia="Calibri" w:cs="Times New Roman"/>
                            <w:szCs w:val="20"/>
                          </w:rPr>
                          <w:t>37</w:t>
                        </w:r>
                      </w:sdtContent>
                    </w:sdt>
                    <w:sdt>
                      <w:sdtPr>
                        <w:rPr>
                          <w:rFonts w:cs="Times New Roman"/>
                          <w:szCs w:val="20"/>
                        </w:rPr>
                        <w:tag w:val="goog_rdk_910"/>
                        <w:id w:val="1147283723"/>
                        <w:showingPlcHdr/>
                      </w:sdtPr>
                      <w:sdtContent>
                        <w:r w:rsidR="004B772A">
                          <w:t>    </w:t>
                        </w:r>
                      </w:sdtContent>
                    </w:sdt>
                  </w:sdtContent>
                </w:sdt>
              </w:p>
            </w:sdtContent>
          </w:sdt>
        </w:tc>
        <w:tc>
          <w:tcPr>
            <w:tcW w:w="0" w:type="auto"/>
          </w:tcPr>
          <w:sdt>
            <w:sdtPr>
              <w:rPr>
                <w:rFonts w:cs="Times New Roman"/>
                <w:szCs w:val="20"/>
              </w:rPr>
              <w:tag w:val="goog_rdk_915"/>
              <w:id w:val="-1132180900"/>
            </w:sdtPr>
            <w:sdtContent>
              <w:p w14:paraId="53387A01"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912"/>
                    <w:id w:val="-555272644"/>
                  </w:sdtPr>
                  <w:sdtContent>
                    <w:sdt>
                      <w:sdtPr>
                        <w:rPr>
                          <w:rFonts w:cs="Times New Roman"/>
                          <w:szCs w:val="20"/>
                        </w:rPr>
                        <w:tag w:val="goog_rdk_913"/>
                        <w:id w:val="-1479302654"/>
                      </w:sdtPr>
                      <w:sdtContent>
                        <w:r w:rsidR="004B772A">
                          <w:rPr>
                            <w:rFonts w:eastAsia="Calibri" w:cs="Times New Roman"/>
                            <w:szCs w:val="20"/>
                          </w:rPr>
                          <w:t>Instrumentalists</w:t>
                        </w:r>
                      </w:sdtContent>
                    </w:sdt>
                    <w:sdt>
                      <w:sdtPr>
                        <w:rPr>
                          <w:rFonts w:cs="Times New Roman"/>
                          <w:szCs w:val="20"/>
                        </w:rPr>
                        <w:tag w:val="goog_rdk_914"/>
                        <w:id w:val="1928391805"/>
                        <w:showingPlcHdr/>
                      </w:sdtPr>
                      <w:sdtContent>
                        <w:r w:rsidR="004B772A">
                          <w:t>    </w:t>
                        </w:r>
                      </w:sdtContent>
                    </w:sdt>
                  </w:sdtContent>
                </w:sdt>
              </w:p>
            </w:sdtContent>
          </w:sdt>
        </w:tc>
        <w:tc>
          <w:tcPr>
            <w:tcW w:w="0" w:type="auto"/>
          </w:tcPr>
          <w:p w14:paraId="38AD59B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6D56F0A1"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US</w:t>
            </w:r>
          </w:p>
        </w:tc>
        <w:tc>
          <w:tcPr>
            <w:tcW w:w="0" w:type="auto"/>
          </w:tcPr>
          <w:p w14:paraId="3B5A5111"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w:t>
            </w:r>
          </w:p>
        </w:tc>
      </w:tr>
      <w:tr w:rsidR="000055AD" w14:paraId="7633804C"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6DBFA64C"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{"citationID":"BOAaE5Fo","properties":{"formattedCitation":"(Oei, Brauers, and Herpich 2020)","plainCitation":"(Oei, Brauers, and Herpich 2020)","noteIndex":0},"citationItems":[{"id":48248,"uris":["http://zotero.org/groups/52011/items/L6IBVDIA"],"itemData":{"id":48248,"type":"article-journal","container-title":"Climate Policy","DOI":"10.1080/14693062.2019.1688636","issue":"8","page":"963-979","title":"Lessons from Germany’s hard coal mining phase-out: policies and transition from 1950 to 2018","volume":"20","author":[{"family":"Oei","given":"P.-Y."},{"family":"Brauers","given":"H."},{"family":"Herpich","given":"P."}],"issued":{"date-parts":[["2020",9,13]]}}}],"schema":"https://github.com/citation-style-language/schema/raw/master/csl-citation.json"} </w:instrText>
            </w:r>
            <w:r>
              <w:rPr>
                <w:rFonts w:cs="Times New Roman"/>
                <w:szCs w:val="20"/>
              </w:rPr>
              <w:fldChar w:fldCharType="separate"/>
            </w:r>
            <w:r>
              <w:rPr>
                <w:rFonts w:cs="Times New Roman"/>
                <w:szCs w:val="20"/>
              </w:rPr>
              <w:t>(Oei, Brauers, and Herpich 2020)</w:t>
            </w:r>
            <w:r>
              <w:rPr>
                <w:rFonts w:cs="Times New Roman"/>
                <w:szCs w:val="20"/>
              </w:rPr>
              <w:fldChar w:fldCharType="end"/>
            </w:r>
          </w:p>
        </w:tc>
        <w:tc>
          <w:tcPr>
            <w:tcW w:w="0" w:type="auto"/>
          </w:tcPr>
          <w:sdt>
            <w:sdtPr>
              <w:rPr>
                <w:rFonts w:cs="Times New Roman"/>
                <w:szCs w:val="20"/>
              </w:rPr>
              <w:tag w:val="goog_rdk_935"/>
              <w:id w:val="-180882862"/>
            </w:sdtPr>
            <w:sdtContent>
              <w:p w14:paraId="6C5BA812"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932"/>
                    <w:id w:val="-247251876"/>
                  </w:sdtPr>
                  <w:sdtContent>
                    <w:sdt>
                      <w:sdtPr>
                        <w:rPr>
                          <w:rFonts w:cs="Times New Roman"/>
                          <w:szCs w:val="20"/>
                        </w:rPr>
                        <w:tag w:val="goog_rdk_933"/>
                        <w:id w:val="-1462342034"/>
                      </w:sdtPr>
                      <w:sdtContent>
                        <w:r w:rsidR="004B772A">
                          <w:rPr>
                            <w:rFonts w:eastAsia="Calibri" w:cs="Times New Roman"/>
                            <w:szCs w:val="20"/>
                          </w:rPr>
                          <w:t>38</w:t>
                        </w:r>
                      </w:sdtContent>
                    </w:sdt>
                    <w:sdt>
                      <w:sdtPr>
                        <w:rPr>
                          <w:rFonts w:cs="Times New Roman"/>
                          <w:szCs w:val="20"/>
                        </w:rPr>
                        <w:tag w:val="goog_rdk_934"/>
                        <w:id w:val="1170498410"/>
                        <w:showingPlcHdr/>
                      </w:sdtPr>
                      <w:sdtContent>
                        <w:r w:rsidR="004B772A">
                          <w:t>    </w:t>
                        </w:r>
                      </w:sdtContent>
                    </w:sdt>
                  </w:sdtContent>
                </w:sdt>
              </w:p>
            </w:sdtContent>
          </w:sdt>
        </w:tc>
        <w:tc>
          <w:tcPr>
            <w:tcW w:w="0" w:type="auto"/>
          </w:tcPr>
          <w:sdt>
            <w:sdtPr>
              <w:rPr>
                <w:rFonts w:cs="Times New Roman"/>
                <w:szCs w:val="20"/>
              </w:rPr>
              <w:tag w:val="goog_rdk_939"/>
              <w:id w:val="-2069998859"/>
            </w:sdtPr>
            <w:sdtContent>
              <w:p w14:paraId="134B9B20"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936"/>
                    <w:id w:val="2022938333"/>
                  </w:sdtPr>
                  <w:sdtContent>
                    <w:sdt>
                      <w:sdtPr>
                        <w:rPr>
                          <w:rFonts w:cs="Times New Roman"/>
                          <w:szCs w:val="20"/>
                        </w:rPr>
                        <w:tag w:val="goog_rdk_937"/>
                        <w:id w:val="-1053832902"/>
                      </w:sdtPr>
                      <w:sdtContent>
                        <w:r w:rsidR="004B772A">
                          <w:rPr>
                            <w:rFonts w:eastAsia="Calibri" w:cs="Times New Roman"/>
                            <w:szCs w:val="20"/>
                          </w:rPr>
                          <w:t>Coal Dependent &amp; Climate Leaders</w:t>
                        </w:r>
                      </w:sdtContent>
                    </w:sdt>
                    <w:sdt>
                      <w:sdtPr>
                        <w:rPr>
                          <w:rFonts w:cs="Times New Roman"/>
                          <w:szCs w:val="20"/>
                        </w:rPr>
                        <w:tag w:val="goog_rdk_938"/>
                        <w:id w:val="-776256982"/>
                        <w:showingPlcHdr/>
                      </w:sdtPr>
                      <w:sdtContent>
                        <w:r w:rsidR="004B772A">
                          <w:t>    </w:t>
                        </w:r>
                      </w:sdtContent>
                    </w:sdt>
                  </w:sdtContent>
                </w:sdt>
              </w:p>
            </w:sdtContent>
          </w:sdt>
        </w:tc>
        <w:tc>
          <w:tcPr>
            <w:tcW w:w="0" w:type="auto"/>
          </w:tcPr>
          <w:p w14:paraId="568AD35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26DAC411"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Germany</w:t>
            </w:r>
          </w:p>
        </w:tc>
        <w:tc>
          <w:tcPr>
            <w:tcW w:w="0" w:type="auto"/>
          </w:tcPr>
          <w:p w14:paraId="31A085A3"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coal</w:t>
            </w:r>
          </w:p>
        </w:tc>
      </w:tr>
      <w:tr w:rsidR="000055AD" w14:paraId="131ADAA8"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0CDEBC1"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{"citationID":"0RvjnaOT","properties":{"formattedCitation":"(O\\uc0\\u8217{}Hanlon and Cummins 2020)","plainCitation":"(O’Hanlon and Cummins 2020)","noteIndex":0},"citationItems":[{"id":33607,"uris":["http://zotero.org/groups/52011/items/R7V5E668"],"itemData":{"id":33607,"type":"article-journal","container-title":"Marine Policy","DOI":"10.1016/j.marpol.2020.103934","ISSN":"0308597X","journalAbbreviation":"Marine Policy","language":"en","page":"103934","source":"DOI.org (Crossref)","title":"A comparative insight of Irish and Scottish regulatory frameworks for offshore wind energy – An expert perspective","volume":"117","author":[{"family":"O'Hanlon","given":"Zoë"},{"family":"Cummins","given":"Valerie"}],"issued":{"date-parts":[["2020",7]]}}}],"schema":"https://github.com/citation-style-language/schema/raw/master/csl-citation.json"} </w:instrText>
            </w:r>
            <w:r>
              <w:rPr>
                <w:rFonts w:cs="Times New Roman"/>
                <w:szCs w:val="20"/>
              </w:rPr>
              <w:fldChar w:fldCharType="separate"/>
            </w:r>
            <w:r>
              <w:rPr>
                <w:rFonts w:cs="Times New Roman"/>
                <w:szCs w:val="20"/>
              </w:rPr>
              <w:t>(O’Hanlon and Cummins 2020)</w:t>
            </w:r>
            <w:r>
              <w:rPr>
                <w:rFonts w:cs="Times New Roman"/>
                <w:szCs w:val="20"/>
              </w:rPr>
              <w:fldChar w:fldCharType="end"/>
            </w:r>
          </w:p>
        </w:tc>
        <w:tc>
          <w:tcPr>
            <w:tcW w:w="0" w:type="auto"/>
          </w:tcPr>
          <w:sdt>
            <w:sdtPr>
              <w:rPr>
                <w:rFonts w:cs="Times New Roman"/>
                <w:szCs w:val="20"/>
              </w:rPr>
              <w:tag w:val="goog_rdk_959"/>
              <w:id w:val="-426904383"/>
            </w:sdtPr>
            <w:sdtContent>
              <w:p w14:paraId="66DA2699"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956"/>
                    <w:id w:val="-765435539"/>
                  </w:sdtPr>
                  <w:sdtContent>
                    <w:sdt>
                      <w:sdtPr>
                        <w:rPr>
                          <w:rFonts w:cs="Times New Roman"/>
                          <w:szCs w:val="20"/>
                        </w:rPr>
                        <w:tag w:val="goog_rdk_957"/>
                        <w:id w:val="1124830268"/>
                      </w:sdtPr>
                      <w:sdtContent>
                        <w:r w:rsidR="004B772A">
                          <w:rPr>
                            <w:rFonts w:eastAsia="Calibri" w:cs="Times New Roman"/>
                            <w:szCs w:val="20"/>
                          </w:rPr>
                          <w:t>39</w:t>
                        </w:r>
                      </w:sdtContent>
                    </w:sdt>
                    <w:sdt>
                      <w:sdtPr>
                        <w:rPr>
                          <w:rFonts w:cs="Times New Roman"/>
                          <w:szCs w:val="20"/>
                        </w:rPr>
                        <w:tag w:val="goog_rdk_958"/>
                        <w:id w:val="1711477986"/>
                        <w:showingPlcHdr/>
                      </w:sdtPr>
                      <w:sdtContent>
                        <w:r w:rsidR="004B772A">
                          <w:t>    </w:t>
                        </w:r>
                      </w:sdtContent>
                    </w:sdt>
                  </w:sdtContent>
                </w:sdt>
              </w:p>
            </w:sdtContent>
          </w:sdt>
        </w:tc>
        <w:tc>
          <w:tcPr>
            <w:tcW w:w="0" w:type="auto"/>
          </w:tcPr>
          <w:sdt>
            <w:sdtPr>
              <w:rPr>
                <w:rFonts w:cs="Times New Roman"/>
                <w:szCs w:val="20"/>
              </w:rPr>
              <w:tag w:val="goog_rdk_963"/>
              <w:id w:val="-1698291280"/>
            </w:sdtPr>
            <w:sdtContent>
              <w:p w14:paraId="5A07B377"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960"/>
                    <w:id w:val="-2043807930"/>
                  </w:sdtPr>
                  <w:sdtContent>
                    <w:sdt>
                      <w:sdtPr>
                        <w:rPr>
                          <w:rFonts w:cs="Times New Roman"/>
                          <w:szCs w:val="20"/>
                        </w:rPr>
                        <w:tag w:val="goog_rdk_961"/>
                        <w:id w:val="-983481230"/>
                      </w:sdtPr>
                      <w:sdtContent>
                        <w:r w:rsidR="004B772A">
                          <w:rPr>
                            <w:rFonts w:eastAsia="Calibri" w:cs="Times New Roman"/>
                            <w:szCs w:val="20"/>
                          </w:rPr>
                          <w:t>Regional Autonomy</w:t>
                        </w:r>
                      </w:sdtContent>
                    </w:sdt>
                    <w:sdt>
                      <w:sdtPr>
                        <w:rPr>
                          <w:rFonts w:cs="Times New Roman"/>
                          <w:szCs w:val="20"/>
                        </w:rPr>
                        <w:tag w:val="goog_rdk_962"/>
                        <w:id w:val="-1152349402"/>
                        <w:showingPlcHdr/>
                      </w:sdtPr>
                      <w:sdtContent>
                        <w:r w:rsidR="004B772A">
                          <w:t>    </w:t>
                        </w:r>
                      </w:sdtContent>
                    </w:sdt>
                  </w:sdtContent>
                </w:sdt>
              </w:p>
            </w:sdtContent>
          </w:sdt>
        </w:tc>
        <w:tc>
          <w:tcPr>
            <w:tcW w:w="0" w:type="auto"/>
          </w:tcPr>
          <w:p w14:paraId="747CCE0B"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72F978D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British Isles</w:t>
            </w:r>
          </w:p>
        </w:tc>
        <w:tc>
          <w:tcPr>
            <w:tcW w:w="0" w:type="auto"/>
          </w:tcPr>
          <w:p w14:paraId="679D282B"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wind</w:t>
            </w:r>
          </w:p>
        </w:tc>
      </w:tr>
      <w:tr w:rsidR="000055AD" w14:paraId="7945C8B3"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08431B21"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{"citationID":"vjHIQOS5","properties":{"formattedCitation":"(O\\uc0\\u8217{}Shaughnessy 2022)","plainCitation":"(O’Shaughnessy 2022)","noteIndex":0},"citationItems":[{"id":63546,"uris":["http://zotero.org/groups/52011/items/RSTHSIMR"],"itemData":{"id":63546,"type":"article-journal","container-title":"Energy Policy","DOI":"10.1016/j.enpol.2022.112860","ISSN":"0301-4215","note":"publisher: Elsevier BV","page":"112860","title":"How policy has shaped the emerging solar photovoltaic installation industry","volume":"163","author":[{"family":"O’Shaughnessy","given":"Eric"}],"issued":{"date-parts":[["2022",4]]}}}],"schema":"https://github.com/citation-style-language/schema/raw/master/csl-citation.json"} </w:instrText>
            </w:r>
            <w:r>
              <w:rPr>
                <w:rFonts w:cs="Times New Roman"/>
                <w:szCs w:val="20"/>
              </w:rPr>
              <w:fldChar w:fldCharType="separate"/>
            </w:r>
            <w:r>
              <w:rPr>
                <w:rFonts w:cs="Times New Roman"/>
                <w:szCs w:val="20"/>
              </w:rPr>
              <w:t>(O’Shaughnessy 2022)</w:t>
            </w:r>
            <w:r>
              <w:rPr>
                <w:rFonts w:cs="Times New Roman"/>
                <w:szCs w:val="20"/>
              </w:rPr>
              <w:fldChar w:fldCharType="end"/>
            </w:r>
          </w:p>
        </w:tc>
        <w:tc>
          <w:tcPr>
            <w:tcW w:w="0" w:type="auto"/>
          </w:tcPr>
          <w:sdt>
            <w:sdtPr>
              <w:rPr>
                <w:rFonts w:cs="Times New Roman"/>
                <w:szCs w:val="20"/>
              </w:rPr>
              <w:tag w:val="goog_rdk_983"/>
              <w:id w:val="-1607963977"/>
            </w:sdtPr>
            <w:sdtContent>
              <w:p w14:paraId="11746807"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980"/>
                    <w:id w:val="-1033789663"/>
                  </w:sdtPr>
                  <w:sdtContent>
                    <w:sdt>
                      <w:sdtPr>
                        <w:rPr>
                          <w:rFonts w:cs="Times New Roman"/>
                          <w:szCs w:val="20"/>
                        </w:rPr>
                        <w:tag w:val="goog_rdk_981"/>
                        <w:id w:val="1512139157"/>
                      </w:sdtPr>
                      <w:sdtContent>
                        <w:r w:rsidR="004B772A">
                          <w:rPr>
                            <w:rFonts w:eastAsia="Calibri" w:cs="Times New Roman"/>
                            <w:szCs w:val="20"/>
                          </w:rPr>
                          <w:t>40</w:t>
                        </w:r>
                      </w:sdtContent>
                    </w:sdt>
                    <w:sdt>
                      <w:sdtPr>
                        <w:rPr>
                          <w:rFonts w:cs="Times New Roman"/>
                          <w:szCs w:val="20"/>
                        </w:rPr>
                        <w:tag w:val="goog_rdk_982"/>
                        <w:id w:val="-1426176769"/>
                        <w:showingPlcHdr/>
                      </w:sdtPr>
                      <w:sdtContent>
                        <w:r w:rsidR="004B772A">
                          <w:t>    </w:t>
                        </w:r>
                      </w:sdtContent>
                    </w:sdt>
                  </w:sdtContent>
                </w:sdt>
              </w:p>
            </w:sdtContent>
          </w:sdt>
        </w:tc>
        <w:tc>
          <w:tcPr>
            <w:tcW w:w="0" w:type="auto"/>
          </w:tcPr>
          <w:sdt>
            <w:sdtPr>
              <w:rPr>
                <w:rFonts w:cs="Times New Roman"/>
                <w:szCs w:val="20"/>
              </w:rPr>
              <w:tag w:val="goog_rdk_987"/>
              <w:id w:val="1709584852"/>
            </w:sdtPr>
            <w:sdtContent>
              <w:p w14:paraId="39C7A05F"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984"/>
                    <w:id w:val="-883254890"/>
                  </w:sdtPr>
                  <w:sdtContent>
                    <w:sdt>
                      <w:sdtPr>
                        <w:rPr>
                          <w:rFonts w:cs="Times New Roman"/>
                          <w:szCs w:val="20"/>
                        </w:rPr>
                        <w:tag w:val="goog_rdk_985"/>
                        <w:id w:val="-703322946"/>
                      </w:sdtPr>
                      <w:sdtContent>
                        <w:r w:rsidR="004B772A">
                          <w:rPr>
                            <w:rFonts w:eastAsia="Calibri" w:cs="Times New Roman"/>
                            <w:szCs w:val="20"/>
                          </w:rPr>
                          <w:t>Instrumentalists</w:t>
                        </w:r>
                      </w:sdtContent>
                    </w:sdt>
                    <w:sdt>
                      <w:sdtPr>
                        <w:rPr>
                          <w:rFonts w:cs="Times New Roman"/>
                          <w:szCs w:val="20"/>
                        </w:rPr>
                        <w:tag w:val="goog_rdk_986"/>
                        <w:id w:val="-1609033665"/>
                        <w:showingPlcHdr/>
                      </w:sdtPr>
                      <w:sdtContent>
                        <w:r w:rsidR="004B772A">
                          <w:t>    </w:t>
                        </w:r>
                      </w:sdtContent>
                    </w:sdt>
                  </w:sdtContent>
                </w:sdt>
              </w:p>
            </w:sdtContent>
          </w:sdt>
        </w:tc>
        <w:tc>
          <w:tcPr>
            <w:tcW w:w="0" w:type="auto"/>
          </w:tcPr>
          <w:p w14:paraId="3A602F7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1709784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US</w:t>
            </w:r>
          </w:p>
        </w:tc>
        <w:tc>
          <w:tcPr>
            <w:tcW w:w="0" w:type="auto"/>
          </w:tcPr>
          <w:p w14:paraId="61579D9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w:t>
            </w:r>
          </w:p>
        </w:tc>
      </w:tr>
      <w:tr w:rsidR="000055AD" w14:paraId="6F134A17"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5317E3B"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{"citationID":"vAqlFuJd","properties":{"formattedCitation":"(Pe\\uc0\\u241{}a, Azevedo, and Marcelino Ferreira 2017)","plainCitation":"(Peña, Azevedo, and Marcelino Ferreira 2017)","noteIndex":0},"citationItems":[{"id":48703,"uris":["http://zotero.org/groups/52011/items/KG2J3BT2"],"itemData":{"id":48703,"type":"article-journal","abstract":"Wind capacity and generation grew rapidly in several European countries, such as Portugal. Wind power adoption in Portugal began in the early 2000s, incentivized by a continuous feed-in tariff policy mechanism, coupled with public tenders for connection licenses in 2001, 2002, and 2005. These policies led to an enormous success in terms of having a large share of renewables providing electricity services: wind alone accounts today for ~23.5% of electricity demand in Portugal. We explain the reasons wind power became a key part of Portugal's strategy to comply with European Commission climate and energy goals, and provide a detailed review of the wind feed-in tariff mechanism. We describe the actors involved in wind power production growth. We estimate the environmental and energy dependency gains achieved through wind power generation, and highlight the correlation between wind electricity generation and electricity exports. Finally, we compare the Portuguese wind policies with others countries’ policy designs and discuss the relevance of a feed-in tariff reform for subsequent wind power additions. © 2017 Elsevier Ltd","container-title":"Energy Policy","DOI":"10.1016/j.enpol.2016.11.033","page":"193-202","title":"Lessons from wind policy in Portugal","volume":"103","author":[{"family":"Peña","given":"I."},{"family":"Azevedo","given":"I."},{"family":"Marcelino Ferreira","given":"L. A. F."}],"issued":{"date-parts":[["2017"]]}}}],"schema":"https://github.com/citation-style-language/schema/raw/master/csl-citation.json"} </w:instrText>
            </w:r>
            <w:r>
              <w:rPr>
                <w:rFonts w:cs="Times New Roman"/>
                <w:szCs w:val="20"/>
              </w:rPr>
              <w:fldChar w:fldCharType="separate"/>
            </w:r>
            <w:r>
              <w:rPr>
                <w:rFonts w:cs="Times New Roman"/>
                <w:szCs w:val="20"/>
              </w:rPr>
              <w:t>(Peña, Azevedo, and Marcelino Ferreira 2017)</w:t>
            </w:r>
            <w:r>
              <w:rPr>
                <w:rFonts w:cs="Times New Roman"/>
                <w:szCs w:val="20"/>
              </w:rPr>
              <w:fldChar w:fldCharType="end"/>
            </w:r>
          </w:p>
        </w:tc>
        <w:tc>
          <w:tcPr>
            <w:tcW w:w="0" w:type="auto"/>
          </w:tcPr>
          <w:sdt>
            <w:sdtPr>
              <w:rPr>
                <w:rFonts w:cs="Times New Roman"/>
                <w:szCs w:val="20"/>
              </w:rPr>
              <w:tag w:val="goog_rdk_1007"/>
              <w:id w:val="-1059634359"/>
            </w:sdtPr>
            <w:sdtContent>
              <w:p w14:paraId="56C45302"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004"/>
                    <w:id w:val="-181403293"/>
                  </w:sdtPr>
                  <w:sdtContent>
                    <w:sdt>
                      <w:sdtPr>
                        <w:rPr>
                          <w:rFonts w:cs="Times New Roman"/>
                          <w:szCs w:val="20"/>
                        </w:rPr>
                        <w:tag w:val="goog_rdk_1005"/>
                        <w:id w:val="-426962963"/>
                      </w:sdtPr>
                      <w:sdtContent>
                        <w:r w:rsidR="004B772A">
                          <w:rPr>
                            <w:rFonts w:eastAsia="Calibri" w:cs="Times New Roman"/>
                            <w:szCs w:val="20"/>
                          </w:rPr>
                          <w:t>41</w:t>
                        </w:r>
                      </w:sdtContent>
                    </w:sdt>
                    <w:sdt>
                      <w:sdtPr>
                        <w:rPr>
                          <w:rFonts w:cs="Times New Roman"/>
                          <w:szCs w:val="20"/>
                        </w:rPr>
                        <w:tag w:val="goog_rdk_1006"/>
                        <w:id w:val="707756295"/>
                        <w:showingPlcHdr/>
                      </w:sdtPr>
                      <w:sdtContent>
                        <w:r w:rsidR="004B772A">
                          <w:t>    </w:t>
                        </w:r>
                      </w:sdtContent>
                    </w:sdt>
                  </w:sdtContent>
                </w:sdt>
              </w:p>
            </w:sdtContent>
          </w:sdt>
        </w:tc>
        <w:tc>
          <w:tcPr>
            <w:tcW w:w="0" w:type="auto"/>
          </w:tcPr>
          <w:sdt>
            <w:sdtPr>
              <w:rPr>
                <w:rFonts w:cs="Times New Roman"/>
                <w:szCs w:val="20"/>
              </w:rPr>
              <w:tag w:val="goog_rdk_1011"/>
              <w:id w:val="1013308365"/>
            </w:sdtPr>
            <w:sdtContent>
              <w:p w14:paraId="44B148B2"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008"/>
                    <w:id w:val="-1151315615"/>
                  </w:sdtPr>
                  <w:sdtContent>
                    <w:sdt>
                      <w:sdtPr>
                        <w:rPr>
                          <w:rFonts w:cs="Times New Roman"/>
                          <w:szCs w:val="20"/>
                        </w:rPr>
                        <w:tag w:val="goog_rdk_1009"/>
                        <w:id w:val="138308542"/>
                      </w:sdtPr>
                      <w:sdtContent>
                        <w:r w:rsidR="004B772A">
                          <w:rPr>
                            <w:rFonts w:eastAsia="Calibri" w:cs="Times New Roman"/>
                            <w:szCs w:val="20"/>
                          </w:rPr>
                          <w:t>Strategists</w:t>
                        </w:r>
                      </w:sdtContent>
                    </w:sdt>
                    <w:sdt>
                      <w:sdtPr>
                        <w:rPr>
                          <w:rFonts w:cs="Times New Roman"/>
                          <w:szCs w:val="20"/>
                        </w:rPr>
                        <w:tag w:val="goog_rdk_1010"/>
                        <w:id w:val="-1722452420"/>
                        <w:showingPlcHdr/>
                      </w:sdtPr>
                      <w:sdtContent>
                        <w:r w:rsidR="004B772A">
                          <w:t>    </w:t>
                        </w:r>
                      </w:sdtContent>
                    </w:sdt>
                  </w:sdtContent>
                </w:sdt>
              </w:p>
            </w:sdtContent>
          </w:sdt>
        </w:tc>
        <w:tc>
          <w:tcPr>
            <w:tcW w:w="0" w:type="auto"/>
          </w:tcPr>
          <w:p w14:paraId="603EADC1"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5F9C9DD4"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Portugal</w:t>
            </w:r>
          </w:p>
        </w:tc>
        <w:tc>
          <w:tcPr>
            <w:tcW w:w="0" w:type="auto"/>
          </w:tcPr>
          <w:p w14:paraId="165FAA41"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wind</w:t>
            </w:r>
          </w:p>
        </w:tc>
      </w:tr>
      <w:tr w:rsidR="000055AD" w14:paraId="69FA273A"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520E4353"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{"citationID":"rjE75Hek","properties":{"formattedCitation":"(Rechsteiner 2021)","plainCitation":"(Rechsteiner 2021)","noteIndex":0},"citationItems":[{"id":405,"uris":["http://zotero.org/groups/52011/items/ZT4VAU3C"],"itemData":{"id":405,"type":"article-journal","abstract":"The German Energiewende (energy transition) started with price guarantees for avoidance activities and later turned to premiums and tenders. Dynamic efficiency was a core concept of this environmental policy. Out of multiple technologies wind and solar power—which were considered too expensive at the time—turned out to be cheaper than the use of oil, coal, gas or nuclear energy for power generation, even without considering externalities. The German minimum price policy opened doors in a competitive way, creating millions of new generators and increasing the number of market participants in the power sector. The fact that these new generators are distributed, non-synchronous and weather-dependent has caused contentious discussions and specific challenges. This paper discusses these aspects in detail and outlines its impacts. It also describes Swiss regulations that successfully launched avoidance technologies or services and asks why exactly Pigou's neoclassical economic approach to the internalization of damage costs (externalities) has rarely worked in policy reality, while sector-specific innovations based on small surcharges have been more successful. Based on the model of feed-in tariffs, a concept for the introduction of low-carbon air traffic is briefly outlined.","container-title":"Clean Technologies and Environmental Policy","DOI":"10.1007/s10098-020-01939-3","ISSN":"1618-9558","issue":"2","journalAbbreviation":"Clean Techn Environ Policy","language":"en","page":"305-342","source":"Springer Link","title":"German energy transition (Energiewende) and what politicians can learn for environmental and climate policy","volume":"23","author":[{"family":"Rechsteiner","given":"Rudolf"}],"issued":{"date-parts":[["2021",3,1]]}}}],"schema":"https://github.com/citation-style-language/schema/raw/master/csl-citation.json"} </w:instrText>
            </w:r>
            <w:r>
              <w:rPr>
                <w:rFonts w:cs="Times New Roman"/>
                <w:szCs w:val="20"/>
              </w:rPr>
              <w:fldChar w:fldCharType="separate"/>
            </w:r>
            <w:r>
              <w:rPr>
                <w:rFonts w:cs="Times New Roman"/>
                <w:szCs w:val="20"/>
              </w:rPr>
              <w:t>(Rechsteiner 2021)</w:t>
            </w:r>
            <w:r>
              <w:rPr>
                <w:rFonts w:cs="Times New Roman"/>
                <w:szCs w:val="20"/>
              </w:rPr>
              <w:fldChar w:fldCharType="end"/>
            </w:r>
          </w:p>
        </w:tc>
        <w:tc>
          <w:tcPr>
            <w:tcW w:w="0" w:type="auto"/>
          </w:tcPr>
          <w:sdt>
            <w:sdtPr>
              <w:rPr>
                <w:rFonts w:cs="Times New Roman"/>
                <w:szCs w:val="20"/>
              </w:rPr>
              <w:tag w:val="goog_rdk_1031"/>
              <w:id w:val="-1420557750"/>
            </w:sdtPr>
            <w:sdtContent>
              <w:p w14:paraId="0839A172"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028"/>
                    <w:id w:val="-6491819"/>
                  </w:sdtPr>
                  <w:sdtContent>
                    <w:sdt>
                      <w:sdtPr>
                        <w:rPr>
                          <w:rFonts w:cs="Times New Roman"/>
                          <w:szCs w:val="20"/>
                        </w:rPr>
                        <w:tag w:val="goog_rdk_1029"/>
                        <w:id w:val="1939054247"/>
                      </w:sdtPr>
                      <w:sdtContent>
                        <w:r w:rsidR="004B772A">
                          <w:rPr>
                            <w:rFonts w:eastAsia="Calibri" w:cs="Times New Roman"/>
                            <w:szCs w:val="20"/>
                          </w:rPr>
                          <w:t>42</w:t>
                        </w:r>
                      </w:sdtContent>
                    </w:sdt>
                    <w:sdt>
                      <w:sdtPr>
                        <w:rPr>
                          <w:rFonts w:cs="Times New Roman"/>
                          <w:szCs w:val="20"/>
                        </w:rPr>
                        <w:tag w:val="goog_rdk_1030"/>
                        <w:id w:val="-1440085544"/>
                        <w:showingPlcHdr/>
                      </w:sdtPr>
                      <w:sdtContent>
                        <w:r w:rsidR="004B772A">
                          <w:t>    </w:t>
                        </w:r>
                      </w:sdtContent>
                    </w:sdt>
                  </w:sdtContent>
                </w:sdt>
              </w:p>
            </w:sdtContent>
          </w:sdt>
        </w:tc>
        <w:tc>
          <w:tcPr>
            <w:tcW w:w="0" w:type="auto"/>
          </w:tcPr>
          <w:sdt>
            <w:sdtPr>
              <w:rPr>
                <w:rFonts w:cs="Times New Roman"/>
                <w:szCs w:val="20"/>
              </w:rPr>
              <w:tag w:val="goog_rdk_1035"/>
              <w:id w:val="1639008881"/>
            </w:sdtPr>
            <w:sdtContent>
              <w:p w14:paraId="25F3412C"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032"/>
                    <w:id w:val="304080793"/>
                  </w:sdtPr>
                  <w:sdtContent>
                    <w:sdt>
                      <w:sdtPr>
                        <w:rPr>
                          <w:rFonts w:cs="Times New Roman"/>
                          <w:szCs w:val="20"/>
                        </w:rPr>
                        <w:tag w:val="goog_rdk_1033"/>
                        <w:id w:val="1176023133"/>
                      </w:sdtPr>
                      <w:sdtContent>
                        <w:r w:rsidR="004B772A">
                          <w:rPr>
                            <w:rFonts w:eastAsia="Calibri" w:cs="Times New Roman"/>
                            <w:szCs w:val="20"/>
                          </w:rPr>
                          <w:t>Strategists</w:t>
                        </w:r>
                      </w:sdtContent>
                    </w:sdt>
                    <w:sdt>
                      <w:sdtPr>
                        <w:rPr>
                          <w:rFonts w:cs="Times New Roman"/>
                          <w:szCs w:val="20"/>
                        </w:rPr>
                        <w:tag w:val="goog_rdk_1034"/>
                        <w:id w:val="-2082816869"/>
                        <w:showingPlcHdr/>
                      </w:sdtPr>
                      <w:sdtContent>
                        <w:r w:rsidR="004B772A">
                          <w:t>    </w:t>
                        </w:r>
                      </w:sdtContent>
                    </w:sdt>
                  </w:sdtContent>
                </w:sdt>
              </w:p>
            </w:sdtContent>
          </w:sdt>
        </w:tc>
        <w:tc>
          <w:tcPr>
            <w:tcW w:w="0" w:type="auto"/>
          </w:tcPr>
          <w:p w14:paraId="0017F5A7"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3237B1C7"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Germany</w:t>
            </w:r>
          </w:p>
        </w:tc>
        <w:tc>
          <w:tcPr>
            <w:tcW w:w="0" w:type="auto"/>
          </w:tcPr>
          <w:p w14:paraId="1DABFC4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renewables, solar, wind</w:t>
            </w:r>
          </w:p>
        </w:tc>
      </w:tr>
      <w:tr w:rsidR="000055AD" w14:paraId="489BC652"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CBFCA71"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{"citationID":"kCXAnYJb","properties":{"formattedCitation":"(Schmieder et al. 2023)","plainCitation":"(Schmieder et al. 2023)","noteIndex":0},"citationItems":[{"id":33482,"uris":["http://zotero.org/groups/52011/items/T49LALUA"],"itemData":{"id":33482,"type":"article-journal","container-title":"Energy Research &amp; Social Science","DOI":"10.1016/j.erss.2023.103210","ISSN":"22146296","journalAbbreviation":"Energy Research &amp; Social Science","language":"en","page":"103210","source":"DOI.org (Crossref)","title":"Municipalities as change agents? Reconsidering roles and policies in local energy sector-coupling","title-short":"Municipalities as change agents?","volume":"103","author":[{"family":"Schmieder","given":"Lisa"},{"family":"Scheer","given":"Dirk"},{"family":"Gaiser","given":"Johannes"},{"family":"Jendritzki","given":"Ines"},{"family":"Kraus","given":"Benjamin"}],"issued":{"date-parts":[["2023",9]]}}}],"schema":"https://github.com/citation-style-language/schema/raw/master/csl-citation.json"} </w:instrText>
            </w:r>
            <w:r>
              <w:rPr>
                <w:rFonts w:cs="Times New Roman"/>
                <w:szCs w:val="20"/>
              </w:rPr>
              <w:fldChar w:fldCharType="separate"/>
            </w:r>
            <w:r>
              <w:rPr>
                <w:rFonts w:cs="Times New Roman"/>
                <w:szCs w:val="20"/>
              </w:rPr>
              <w:t>(Schmieder et al. 2023)</w:t>
            </w:r>
            <w:r>
              <w:rPr>
                <w:rFonts w:cs="Times New Roman"/>
                <w:szCs w:val="20"/>
              </w:rPr>
              <w:fldChar w:fldCharType="end"/>
            </w:r>
          </w:p>
        </w:tc>
        <w:tc>
          <w:tcPr>
            <w:tcW w:w="0" w:type="auto"/>
          </w:tcPr>
          <w:sdt>
            <w:sdtPr>
              <w:rPr>
                <w:rFonts w:cs="Times New Roman"/>
                <w:szCs w:val="20"/>
              </w:rPr>
              <w:tag w:val="goog_rdk_1055"/>
              <w:id w:val="-1223670132"/>
            </w:sdtPr>
            <w:sdtContent>
              <w:p w14:paraId="24C619E2"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052"/>
                    <w:id w:val="309261511"/>
                  </w:sdtPr>
                  <w:sdtContent>
                    <w:sdt>
                      <w:sdtPr>
                        <w:rPr>
                          <w:rFonts w:cs="Times New Roman"/>
                          <w:szCs w:val="20"/>
                        </w:rPr>
                        <w:tag w:val="goog_rdk_1053"/>
                        <w:id w:val="-1695943223"/>
                      </w:sdtPr>
                      <w:sdtContent>
                        <w:r w:rsidR="004B772A">
                          <w:rPr>
                            <w:rFonts w:eastAsia="Calibri" w:cs="Times New Roman"/>
                            <w:szCs w:val="20"/>
                          </w:rPr>
                          <w:t>43</w:t>
                        </w:r>
                      </w:sdtContent>
                    </w:sdt>
                    <w:sdt>
                      <w:sdtPr>
                        <w:rPr>
                          <w:rFonts w:cs="Times New Roman"/>
                          <w:szCs w:val="20"/>
                        </w:rPr>
                        <w:tag w:val="goog_rdk_1054"/>
                        <w:id w:val="-734764809"/>
                        <w:showingPlcHdr/>
                      </w:sdtPr>
                      <w:sdtContent>
                        <w:r w:rsidR="004B772A">
                          <w:t>    </w:t>
                        </w:r>
                      </w:sdtContent>
                    </w:sdt>
                  </w:sdtContent>
                </w:sdt>
              </w:p>
            </w:sdtContent>
          </w:sdt>
        </w:tc>
        <w:tc>
          <w:tcPr>
            <w:tcW w:w="0" w:type="auto"/>
          </w:tcPr>
          <w:sdt>
            <w:sdtPr>
              <w:rPr>
                <w:rFonts w:cs="Times New Roman"/>
                <w:szCs w:val="20"/>
              </w:rPr>
              <w:tag w:val="goog_rdk_1059"/>
              <w:id w:val="-123422891"/>
            </w:sdtPr>
            <w:sdtContent>
              <w:p w14:paraId="5EDBBBDB"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056"/>
                    <w:id w:val="-964481105"/>
                  </w:sdtPr>
                  <w:sdtContent>
                    <w:sdt>
                      <w:sdtPr>
                        <w:rPr>
                          <w:rFonts w:cs="Times New Roman"/>
                          <w:szCs w:val="20"/>
                        </w:rPr>
                        <w:tag w:val="goog_rdk_1057"/>
                        <w:id w:val="1652953779"/>
                      </w:sdtPr>
                      <w:sdtContent>
                        <w:r w:rsidR="004B772A">
                          <w:rPr>
                            <w:rFonts w:eastAsia="Calibri" w:cs="Times New Roman"/>
                            <w:szCs w:val="20"/>
                          </w:rPr>
                          <w:t>Strategists</w:t>
                        </w:r>
                      </w:sdtContent>
                    </w:sdt>
                    <w:sdt>
                      <w:sdtPr>
                        <w:rPr>
                          <w:rFonts w:cs="Times New Roman"/>
                          <w:szCs w:val="20"/>
                        </w:rPr>
                        <w:tag w:val="goog_rdk_1058"/>
                        <w:id w:val="-1010450593"/>
                        <w:showingPlcHdr/>
                      </w:sdtPr>
                      <w:sdtContent>
                        <w:r w:rsidR="004B772A">
                          <w:t>    </w:t>
                        </w:r>
                      </w:sdtContent>
                    </w:sdt>
                  </w:sdtContent>
                </w:sdt>
              </w:p>
            </w:sdtContent>
          </w:sdt>
        </w:tc>
        <w:tc>
          <w:tcPr>
            <w:tcW w:w="0" w:type="auto"/>
          </w:tcPr>
          <w:p w14:paraId="2EC2A8B6"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7CCF1406"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Germany</w:t>
            </w:r>
          </w:p>
        </w:tc>
        <w:tc>
          <w:tcPr>
            <w:tcW w:w="0" w:type="auto"/>
          </w:tcPr>
          <w:p w14:paraId="2F401614"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 wind</w:t>
            </w:r>
          </w:p>
        </w:tc>
      </w:tr>
      <w:tr w:rsidR="000055AD" w14:paraId="18E2D8D9"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1B141574"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{"citationID":"0waNHs7D","properties":{"formattedCitation":"(Shidore and Busby)","plainCitation":"(Shidore and Busby)","noteIndex":0},"citationItems":[{"id":54782,"uris":["http://zotero.org/groups/52011/items/32KQNNHJ"],"itemData":{"id":54782,"type":"article-journal","abstract":"In late 2014, India announced plans to increase the deployment of solar technology from 20 GW to 100 GW by 2022 and followed this up by putting in place a set of robust policies to achieve this target. What explains India's strong push to adopt solar electricity? Conventional wisdom mostly credits techno-economic factors, such as falling module prices and competitive bidding to explain this embrace. Though these factors undoubtedly aided the scale-up, solar power was substantially more expensive than domestic coal in the 2014-17 period under study. We conducted 23 elite interviews with former and current Indian government officials, think-tank researchers, consultants, private sector executives, Indian media, and two U.S. officials. We evaluated nine possible drivers behind the Indian government's policy push on solar going beyond the techno-economic emphasis on declining panel prices. Based on the interviews and a review of other observable implications of the various drivers, four chiefly political drivers clearly stood out: domestic politics, global pressure and partnerships, attracting investment and energy sovereignty. Prime Minister Modi embraced solar to bolster his domestic image as a modernizing reformer and to boost India's reputation internationally. Solar also aimed to leverage investment and dampen India's dependence on energy imports.","container-title":"ENERGY POLICY","DOI":"10.1016/j.enpol.2019.02.032","ISSN":"0301-4215","journalAbbreviation":"ENERGY POLICY","language":"English","note":"publisher-place: OXFORD\npublisher: ELSEVIER SCI LTD","page":"1179-1189 Funding details - IC2 Institute Funding text - This research was supported by the IC2 Institute.","title":"What explains India's embrace of solar? State-led energy transition in a developmental polity","volume":"129","author":[{"family":"Shidore","given":"S"},{"family":"Busby","given":"JW"}],"issued":{"date-parts":[["0000",6]]}}}],"schema":"https://github.com/citation-style-language/schema/raw/master/csl-citation.json"} </w:instrText>
            </w:r>
            <w:r>
              <w:rPr>
                <w:rFonts w:cs="Times New Roman"/>
                <w:szCs w:val="20"/>
              </w:rPr>
              <w:fldChar w:fldCharType="separate"/>
            </w:r>
            <w:r>
              <w:rPr>
                <w:rFonts w:cs="Times New Roman"/>
                <w:szCs w:val="20"/>
              </w:rPr>
              <w:t>(Shidore and Busby)</w:t>
            </w:r>
            <w:r>
              <w:rPr>
                <w:rFonts w:cs="Times New Roman"/>
                <w:szCs w:val="20"/>
              </w:rPr>
              <w:fldChar w:fldCharType="end"/>
            </w:r>
          </w:p>
        </w:tc>
        <w:tc>
          <w:tcPr>
            <w:tcW w:w="0" w:type="auto"/>
          </w:tcPr>
          <w:sdt>
            <w:sdtPr>
              <w:rPr>
                <w:rFonts w:cs="Times New Roman"/>
                <w:szCs w:val="20"/>
              </w:rPr>
              <w:tag w:val="goog_rdk_1079"/>
              <w:id w:val="1308400490"/>
            </w:sdtPr>
            <w:sdtContent>
              <w:p w14:paraId="6C87B890"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076"/>
                    <w:id w:val="95261967"/>
                  </w:sdtPr>
                  <w:sdtContent>
                    <w:sdt>
                      <w:sdtPr>
                        <w:rPr>
                          <w:rFonts w:cs="Times New Roman"/>
                          <w:szCs w:val="20"/>
                        </w:rPr>
                        <w:tag w:val="goog_rdk_1077"/>
                        <w:id w:val="-2113019165"/>
                      </w:sdtPr>
                      <w:sdtContent>
                        <w:r w:rsidR="004B772A">
                          <w:rPr>
                            <w:rFonts w:eastAsia="Calibri" w:cs="Times New Roman"/>
                            <w:szCs w:val="20"/>
                          </w:rPr>
                          <w:t>44</w:t>
                        </w:r>
                      </w:sdtContent>
                    </w:sdt>
                    <w:sdt>
                      <w:sdtPr>
                        <w:rPr>
                          <w:rFonts w:cs="Times New Roman"/>
                          <w:szCs w:val="20"/>
                        </w:rPr>
                        <w:tag w:val="goog_rdk_1078"/>
                        <w:id w:val="1636208224"/>
                        <w:showingPlcHdr/>
                      </w:sdtPr>
                      <w:sdtContent>
                        <w:r w:rsidR="004B772A">
                          <w:t>    </w:t>
                        </w:r>
                      </w:sdtContent>
                    </w:sdt>
                  </w:sdtContent>
                </w:sdt>
              </w:p>
            </w:sdtContent>
          </w:sdt>
        </w:tc>
        <w:tc>
          <w:tcPr>
            <w:tcW w:w="0" w:type="auto"/>
          </w:tcPr>
          <w:sdt>
            <w:sdtPr>
              <w:rPr>
                <w:rFonts w:cs="Times New Roman"/>
                <w:szCs w:val="20"/>
              </w:rPr>
              <w:tag w:val="goog_rdk_1083"/>
              <w:id w:val="1194288418"/>
            </w:sdtPr>
            <w:sdtContent>
              <w:p w14:paraId="2DC059B6"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080"/>
                    <w:id w:val="-1376499414"/>
                  </w:sdtPr>
                  <w:sdtContent>
                    <w:sdt>
                      <w:sdtPr>
                        <w:rPr>
                          <w:rFonts w:cs="Times New Roman"/>
                          <w:szCs w:val="20"/>
                        </w:rPr>
                        <w:tag w:val="goog_rdk_1081"/>
                        <w:id w:val="-1376446664"/>
                      </w:sdtPr>
                      <w:sdtContent>
                        <w:r w:rsidR="004B772A">
                          <w:rPr>
                            <w:rFonts w:eastAsia="Calibri" w:cs="Times New Roman"/>
                            <w:szCs w:val="20"/>
                          </w:rPr>
                          <w:t>Planners</w:t>
                        </w:r>
                      </w:sdtContent>
                    </w:sdt>
                    <w:sdt>
                      <w:sdtPr>
                        <w:rPr>
                          <w:rFonts w:cs="Times New Roman"/>
                          <w:szCs w:val="20"/>
                        </w:rPr>
                        <w:tag w:val="goog_rdk_1082"/>
                        <w:id w:val="241627685"/>
                        <w:showingPlcHdr/>
                      </w:sdtPr>
                      <w:sdtContent>
                        <w:r w:rsidR="004B772A">
                          <w:t>    </w:t>
                        </w:r>
                      </w:sdtContent>
                    </w:sdt>
                  </w:sdtContent>
                </w:sdt>
              </w:p>
            </w:sdtContent>
          </w:sdt>
        </w:tc>
        <w:tc>
          <w:tcPr>
            <w:tcW w:w="0" w:type="auto"/>
          </w:tcPr>
          <w:p w14:paraId="473E5616"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3D7961F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India</w:t>
            </w:r>
          </w:p>
        </w:tc>
        <w:tc>
          <w:tcPr>
            <w:tcW w:w="0" w:type="auto"/>
          </w:tcPr>
          <w:p w14:paraId="74AFD74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w:t>
            </w:r>
          </w:p>
        </w:tc>
      </w:tr>
      <w:tr w:rsidR="000055AD" w14:paraId="5C1A93CB"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1A5C1B1"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{"citationID":"NG6viHKg","properties":{"formattedCitation":"(Shrimali, Lynes, and Indvik 2015)","plainCitation":"(Shrimali, Lynes, and Indvik 2015)","noteIndex":0},"citationItems":[{"id":50155,"uris":["http://zotero.org/groups/52011/items/ANY2BRHR"],"itemData":{"id":50155,"type":"article-journal","abstract":"Using a 50-state panel dataset covering the years 1990-2011, we empirically examine the effectiveness of national and state-level policies that encourage wind energy deployment in the U.S. This study is the first to use econometric techniques to examine both the impact of the flagship federal policy - the production tax credit - and the influence of the production tax credit on the effectiveness of state-level policies. First, we show that the national production tax credit alone has been effective in promoting wind energy deployment - 1.4 GW per year on average - in the U.S. Second, we show that production tax credit influences the effectiveness of state-level policies in promoting wind deployment. For example, in the presence of the production tax credit, mandatory green power option increases wind deployment in a state by 200 MW per year on average. Third, we show that the array of renewable energy resources within a given state positively influences the responsiveness to state and national wind policies. © 2014 Elsevier Ltd. All rights reserved.","container-title":"Renewable and Sustainable Energy Reviews","DOI":"10.1016/j.rser.2014.11.080","page":"796-806","title":"Wind energy deployment in the U.S.: An empirical analysis of the role of federal and state policies","volume":"43","author":[{"family":"Shrimali","given":"G."},{"family":"Lynes","given":"M."},{"family":"Indvik","given":"J."}],"issued":{"date-parts":[["2015"]]}}}],"schema":"https://github.com/citation-style-language/schema/raw/master/csl-citation.json"} </w:instrText>
            </w:r>
            <w:r>
              <w:rPr>
                <w:rFonts w:cs="Times New Roman"/>
                <w:szCs w:val="20"/>
              </w:rPr>
              <w:fldChar w:fldCharType="separate"/>
            </w:r>
            <w:r>
              <w:rPr>
                <w:rFonts w:cs="Times New Roman"/>
                <w:szCs w:val="20"/>
              </w:rPr>
              <w:t>(Shrimali, Lynes, and Indvik 2015)</w:t>
            </w:r>
            <w:r>
              <w:rPr>
                <w:rFonts w:cs="Times New Roman"/>
                <w:szCs w:val="20"/>
              </w:rPr>
              <w:fldChar w:fldCharType="end"/>
            </w:r>
          </w:p>
        </w:tc>
        <w:tc>
          <w:tcPr>
            <w:tcW w:w="0" w:type="auto"/>
          </w:tcPr>
          <w:sdt>
            <w:sdtPr>
              <w:rPr>
                <w:rFonts w:cs="Times New Roman"/>
                <w:szCs w:val="20"/>
              </w:rPr>
              <w:tag w:val="goog_rdk_1103"/>
              <w:id w:val="368586290"/>
            </w:sdtPr>
            <w:sdtContent>
              <w:p w14:paraId="5F047A5E"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100"/>
                    <w:id w:val="-298802878"/>
                  </w:sdtPr>
                  <w:sdtContent>
                    <w:sdt>
                      <w:sdtPr>
                        <w:rPr>
                          <w:rFonts w:cs="Times New Roman"/>
                          <w:szCs w:val="20"/>
                        </w:rPr>
                        <w:tag w:val="goog_rdk_1101"/>
                        <w:id w:val="1616313360"/>
                      </w:sdtPr>
                      <w:sdtContent>
                        <w:r w:rsidR="004B772A">
                          <w:rPr>
                            <w:rFonts w:eastAsia="Calibri" w:cs="Times New Roman"/>
                            <w:szCs w:val="20"/>
                          </w:rPr>
                          <w:t>45</w:t>
                        </w:r>
                      </w:sdtContent>
                    </w:sdt>
                    <w:sdt>
                      <w:sdtPr>
                        <w:rPr>
                          <w:rFonts w:cs="Times New Roman"/>
                          <w:szCs w:val="20"/>
                        </w:rPr>
                        <w:tag w:val="goog_rdk_1102"/>
                        <w:id w:val="-1995695027"/>
                        <w:showingPlcHdr/>
                      </w:sdtPr>
                      <w:sdtContent>
                        <w:r w:rsidR="004B772A">
                          <w:t>    </w:t>
                        </w:r>
                      </w:sdtContent>
                    </w:sdt>
                  </w:sdtContent>
                </w:sdt>
              </w:p>
            </w:sdtContent>
          </w:sdt>
        </w:tc>
        <w:tc>
          <w:tcPr>
            <w:tcW w:w="0" w:type="auto"/>
          </w:tcPr>
          <w:sdt>
            <w:sdtPr>
              <w:rPr>
                <w:rFonts w:cs="Times New Roman"/>
                <w:szCs w:val="20"/>
              </w:rPr>
              <w:tag w:val="goog_rdk_1107"/>
              <w:id w:val="-420868297"/>
            </w:sdtPr>
            <w:sdtContent>
              <w:p w14:paraId="49D74489"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104"/>
                    <w:id w:val="-26356895"/>
                  </w:sdtPr>
                  <w:sdtContent>
                    <w:sdt>
                      <w:sdtPr>
                        <w:rPr>
                          <w:rFonts w:cs="Times New Roman"/>
                          <w:szCs w:val="20"/>
                        </w:rPr>
                        <w:tag w:val="goog_rdk_1105"/>
                        <w:id w:val="-37223471"/>
                      </w:sdtPr>
                      <w:sdtContent>
                        <w:r w:rsidR="004B772A">
                          <w:rPr>
                            <w:rFonts w:eastAsia="Calibri" w:cs="Times New Roman"/>
                            <w:szCs w:val="20"/>
                          </w:rPr>
                          <w:t>Instrumentalists</w:t>
                        </w:r>
                      </w:sdtContent>
                    </w:sdt>
                    <w:sdt>
                      <w:sdtPr>
                        <w:rPr>
                          <w:rFonts w:cs="Times New Roman"/>
                          <w:szCs w:val="20"/>
                        </w:rPr>
                        <w:tag w:val="goog_rdk_1106"/>
                        <w:id w:val="1812163791"/>
                        <w:showingPlcHdr/>
                      </w:sdtPr>
                      <w:sdtContent>
                        <w:r w:rsidR="004B772A">
                          <w:t>    </w:t>
                        </w:r>
                      </w:sdtContent>
                    </w:sdt>
                  </w:sdtContent>
                </w:sdt>
              </w:p>
            </w:sdtContent>
          </w:sdt>
        </w:tc>
        <w:tc>
          <w:tcPr>
            <w:tcW w:w="0" w:type="auto"/>
          </w:tcPr>
          <w:p w14:paraId="626D142F"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0DAC35CE"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US</w:t>
            </w:r>
          </w:p>
        </w:tc>
        <w:tc>
          <w:tcPr>
            <w:tcW w:w="0" w:type="auto"/>
          </w:tcPr>
          <w:p w14:paraId="2298D470"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wind</w:t>
            </w:r>
          </w:p>
        </w:tc>
      </w:tr>
      <w:tr w:rsidR="000055AD" w14:paraId="3174DD5F"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02A4BB0D"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{"citationID":"nOawX29D","properties":{"formattedCitation":"(Sreenath et al. 2022)","plainCitation":"(Sreenath et al. 2022)","noteIndex":0},"citationItems":[{"id":39657,"uris":["http://zotero.org/groups/52011/items/9V6R3XQM"],"itemData":{"id":39657,"type":"article-journal","abstract":"South East Asian countries are blessed with abundant solar energy potential. Yet, the solar photovoltaic potential remains underutilized. There are certain roadblocks in the progress of solar PV deployment in ASEAN. This paper aims to investigate the solar PV policies in the ASEAN region over the past decade. Also, an attempt was made to provide policy recommendations. In spite of solar irradiation advantage and plummeting solar system cost, it was understood that solar PV growth is greatly dependent on regulatory policies and mechanisms. The tremendous growth in solar PV is observed in Vietnam through the successful implementation of the Feed-in-Tariff (FiT) scheme. In addition, the FiT demonstrated to be a suitable scheme to initiate solar PV growth. Over the past decade, the policy landscape in Thailand and Malaysia evolved from FiT scheme to P2P energy trading. This strategy is critical for developing a solid, self-sustaining PV market. Uncertainty and delay affected the success of solar policies in some ASEAN member states. Adoption of the FiT scheme for early-stage PV development and the Renewable Portfolio Standard (RPS) for advanced-stage PV development are the main policy recommendations. This study will serve as a reference to policymakers and energy professionals in the region. The insights of the study will be beneficial in adopting appropriate solar policy instruments. © 2022 The Author(s)","archive":"Scopus","container-title":"Energy Reports","DOI":"10.1016/j.egyr.2022.05.219","page":"460-469","title":"A decade of solar PV deployment in ASEAN: Policy landscape and recommendations","volume":"8","author":[{"family":"Sreenath","given":"S."},{"family":"Azmi","given":"A.M."},{"family":"Dahlan","given":"N.Y."},{"family":"Sudhakar","given":"K."}],"issued":{"date-parts":[["2022"]]}}}],"schema":"https://github.com/citation-style-language/schema/raw/master/csl-citation.json"} </w:instrText>
            </w:r>
            <w:r>
              <w:rPr>
                <w:rFonts w:cs="Times New Roman"/>
                <w:szCs w:val="20"/>
              </w:rPr>
              <w:fldChar w:fldCharType="separate"/>
            </w:r>
            <w:r>
              <w:rPr>
                <w:rFonts w:cs="Times New Roman"/>
                <w:szCs w:val="20"/>
              </w:rPr>
              <w:t>(Sreenath et al. 2022)</w:t>
            </w:r>
            <w:r>
              <w:rPr>
                <w:rFonts w:cs="Times New Roman"/>
                <w:szCs w:val="20"/>
              </w:rPr>
              <w:fldChar w:fldCharType="end"/>
            </w:r>
          </w:p>
        </w:tc>
        <w:tc>
          <w:tcPr>
            <w:tcW w:w="0" w:type="auto"/>
          </w:tcPr>
          <w:sdt>
            <w:sdtPr>
              <w:rPr>
                <w:rFonts w:cs="Times New Roman"/>
                <w:szCs w:val="20"/>
              </w:rPr>
              <w:tag w:val="goog_rdk_1127"/>
              <w:id w:val="332819620"/>
            </w:sdtPr>
            <w:sdtContent>
              <w:p w14:paraId="04A88F35"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124"/>
                    <w:id w:val="-1869747416"/>
                  </w:sdtPr>
                  <w:sdtContent>
                    <w:sdt>
                      <w:sdtPr>
                        <w:rPr>
                          <w:rFonts w:cs="Times New Roman"/>
                          <w:szCs w:val="20"/>
                        </w:rPr>
                        <w:tag w:val="goog_rdk_1125"/>
                        <w:id w:val="466418924"/>
                      </w:sdtPr>
                      <w:sdtContent>
                        <w:r w:rsidR="004B772A">
                          <w:rPr>
                            <w:rFonts w:eastAsia="Calibri" w:cs="Times New Roman"/>
                            <w:szCs w:val="20"/>
                          </w:rPr>
                          <w:t>46</w:t>
                        </w:r>
                      </w:sdtContent>
                    </w:sdt>
                    <w:sdt>
                      <w:sdtPr>
                        <w:rPr>
                          <w:rFonts w:cs="Times New Roman"/>
                          <w:szCs w:val="20"/>
                        </w:rPr>
                        <w:tag w:val="goog_rdk_1126"/>
                        <w:id w:val="-1937291156"/>
                        <w:showingPlcHdr/>
                      </w:sdtPr>
                      <w:sdtContent>
                        <w:r w:rsidR="004B772A">
                          <w:t>    </w:t>
                        </w:r>
                      </w:sdtContent>
                    </w:sdt>
                  </w:sdtContent>
                </w:sdt>
              </w:p>
            </w:sdtContent>
          </w:sdt>
        </w:tc>
        <w:tc>
          <w:tcPr>
            <w:tcW w:w="0" w:type="auto"/>
          </w:tcPr>
          <w:sdt>
            <w:sdtPr>
              <w:rPr>
                <w:rFonts w:cs="Times New Roman"/>
                <w:szCs w:val="20"/>
              </w:rPr>
              <w:tag w:val="goog_rdk_1131"/>
              <w:id w:val="-1515796389"/>
            </w:sdtPr>
            <w:sdtContent>
              <w:p w14:paraId="518AA18C"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128"/>
                    <w:id w:val="-1871100490"/>
                  </w:sdtPr>
                  <w:sdtContent>
                    <w:sdt>
                      <w:sdtPr>
                        <w:rPr>
                          <w:rFonts w:cs="Times New Roman"/>
                          <w:szCs w:val="20"/>
                        </w:rPr>
                        <w:tag w:val="goog_rdk_1129"/>
                        <w:id w:val="-1756899971"/>
                      </w:sdtPr>
                      <w:sdtContent>
                        <w:r w:rsidR="004B772A">
                          <w:rPr>
                            <w:rFonts w:eastAsia="Calibri" w:cs="Times New Roman"/>
                            <w:szCs w:val="20"/>
                          </w:rPr>
                          <w:t>Planners</w:t>
                        </w:r>
                      </w:sdtContent>
                    </w:sdt>
                    <w:sdt>
                      <w:sdtPr>
                        <w:rPr>
                          <w:rFonts w:cs="Times New Roman"/>
                          <w:szCs w:val="20"/>
                        </w:rPr>
                        <w:tag w:val="goog_rdk_1130"/>
                        <w:id w:val="-2083077835"/>
                        <w:showingPlcHdr/>
                      </w:sdtPr>
                      <w:sdtContent>
                        <w:r w:rsidR="004B772A">
                          <w:t>    </w:t>
                        </w:r>
                      </w:sdtContent>
                    </w:sdt>
                  </w:sdtContent>
                </w:sdt>
              </w:p>
            </w:sdtContent>
          </w:sdt>
        </w:tc>
        <w:tc>
          <w:tcPr>
            <w:tcW w:w="0" w:type="auto"/>
          </w:tcPr>
          <w:p w14:paraId="4E6458A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7AAA09A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ASEAN</w:t>
            </w:r>
          </w:p>
        </w:tc>
        <w:tc>
          <w:tcPr>
            <w:tcW w:w="0" w:type="auto"/>
          </w:tcPr>
          <w:p w14:paraId="6841700F"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w:t>
            </w:r>
          </w:p>
        </w:tc>
      </w:tr>
      <w:tr w:rsidR="000055AD" w14:paraId="0FF8B571"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B5D4AE5"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{"citationID":"z88RbxG5","properties":{"formattedCitation":"(Strunz, Gawel, and Lehmann 2016)","plainCitation":"(Strunz, Gawel, and Lehmann 2016)","noteIndex":0},"citationItems":[{"id":6656,"uris":["http://zotero.org/groups/52011/items/EVBJFI3N"],"itemData":{"id":6656,"type":"article-journal","abstract":"In this paper, we employ a public choice perspective to analyze the development of policies for renewable energy sources (RES) in the EU in general and in Germany more specifically. In doing so, we explain the main characteristics of current RES policies in the EU by reference to the self­ interest driven motivations of voters, stakeholders and political actors. One important puzzle, which we address, is the following: How could effective RES-policies be introduced against the political opposition of fossil-fuel interest groups in the past? Via analyzing the German example in more detail, we show how over time a self-reinforcing interplay of ideological and financial RES support has emerged. Moreover, we demonstrate that observed specific design choices for EU RES policies, such as largely riskless remuneration schemes, high degrees of technology dif­ ferentiation and decentralized decision-making across Member States, can be traced back to poli­ ticians’ need to balance a variety of partly opposing interests. A major benefit of the presented analysis is that it provides a realistic assessment of the challenges for RES policy reform – any reform effort critically depends on its ability to balance stakeholder interests.","container-title":"Utilities Policy","DOI":"10.1016/j.jup.2016.04.005","ISSN":"09571787","language":"en","page":"33-41","source":"Crossref","title":"The political economy of renewable energy policies in Germany and the EU","volume":"42","author":[{"family":"Strunz","given":"Sebastian"},{"family":"Gawel","given":"Erik"},{"family":"Lehmann","given":"Paul"}],"issued":{"date-parts":[["2016",10]]}}}],"schema":"https://github.com/citation-style-language/schema/raw/master/csl-citation.json"} </w:instrText>
            </w:r>
            <w:r>
              <w:rPr>
                <w:rFonts w:cs="Times New Roman"/>
                <w:szCs w:val="20"/>
              </w:rPr>
              <w:fldChar w:fldCharType="separate"/>
            </w:r>
            <w:r>
              <w:rPr>
                <w:rFonts w:cs="Times New Roman"/>
                <w:szCs w:val="20"/>
              </w:rPr>
              <w:t>(Strunz, Gawel, and Lehmann 2016)</w:t>
            </w:r>
            <w:r>
              <w:rPr>
                <w:rFonts w:cs="Times New Roman"/>
                <w:szCs w:val="20"/>
              </w:rPr>
              <w:fldChar w:fldCharType="end"/>
            </w:r>
          </w:p>
        </w:tc>
        <w:tc>
          <w:tcPr>
            <w:tcW w:w="0" w:type="auto"/>
          </w:tcPr>
          <w:sdt>
            <w:sdtPr>
              <w:rPr>
                <w:rFonts w:cs="Times New Roman"/>
                <w:szCs w:val="20"/>
              </w:rPr>
              <w:tag w:val="goog_rdk_1151"/>
              <w:id w:val="-238568788"/>
            </w:sdtPr>
            <w:sdtContent>
              <w:p w14:paraId="750F14AC"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148"/>
                    <w:id w:val="-127896321"/>
                  </w:sdtPr>
                  <w:sdtContent>
                    <w:sdt>
                      <w:sdtPr>
                        <w:rPr>
                          <w:rFonts w:cs="Times New Roman"/>
                          <w:szCs w:val="20"/>
                        </w:rPr>
                        <w:tag w:val="goog_rdk_1149"/>
                        <w:id w:val="1754304527"/>
                      </w:sdtPr>
                      <w:sdtContent>
                        <w:r w:rsidR="004B772A">
                          <w:rPr>
                            <w:rFonts w:eastAsia="Calibri" w:cs="Times New Roman"/>
                            <w:szCs w:val="20"/>
                          </w:rPr>
                          <w:t>47</w:t>
                        </w:r>
                      </w:sdtContent>
                    </w:sdt>
                    <w:sdt>
                      <w:sdtPr>
                        <w:rPr>
                          <w:rFonts w:cs="Times New Roman"/>
                          <w:szCs w:val="20"/>
                        </w:rPr>
                        <w:tag w:val="goog_rdk_1150"/>
                        <w:id w:val="-2038114729"/>
                        <w:showingPlcHdr/>
                      </w:sdtPr>
                      <w:sdtContent>
                        <w:r w:rsidR="004B772A">
                          <w:t>    </w:t>
                        </w:r>
                      </w:sdtContent>
                    </w:sdt>
                  </w:sdtContent>
                </w:sdt>
              </w:p>
            </w:sdtContent>
          </w:sdt>
        </w:tc>
        <w:tc>
          <w:tcPr>
            <w:tcW w:w="0" w:type="auto"/>
          </w:tcPr>
          <w:sdt>
            <w:sdtPr>
              <w:rPr>
                <w:rFonts w:cs="Times New Roman"/>
                <w:szCs w:val="20"/>
              </w:rPr>
              <w:tag w:val="goog_rdk_1155"/>
              <w:id w:val="-641502254"/>
            </w:sdtPr>
            <w:sdtContent>
              <w:p w14:paraId="5E98F076"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152"/>
                    <w:id w:val="-1424143648"/>
                  </w:sdtPr>
                  <w:sdtContent>
                    <w:sdt>
                      <w:sdtPr>
                        <w:rPr>
                          <w:rFonts w:cs="Times New Roman"/>
                          <w:szCs w:val="20"/>
                        </w:rPr>
                        <w:tag w:val="goog_rdk_1153"/>
                        <w:id w:val="-193750262"/>
                      </w:sdtPr>
                      <w:sdtContent>
                        <w:r w:rsidR="004B772A">
                          <w:rPr>
                            <w:rFonts w:eastAsia="Calibri" w:cs="Times New Roman"/>
                            <w:szCs w:val="20"/>
                          </w:rPr>
                          <w:t>Strategists</w:t>
                        </w:r>
                      </w:sdtContent>
                    </w:sdt>
                    <w:sdt>
                      <w:sdtPr>
                        <w:rPr>
                          <w:rFonts w:cs="Times New Roman"/>
                          <w:szCs w:val="20"/>
                        </w:rPr>
                        <w:tag w:val="goog_rdk_1154"/>
                        <w:id w:val="484577880"/>
                        <w:showingPlcHdr/>
                      </w:sdtPr>
                      <w:sdtContent>
                        <w:r w:rsidR="004B772A">
                          <w:t>    </w:t>
                        </w:r>
                      </w:sdtContent>
                    </w:sdt>
                  </w:sdtContent>
                </w:sdt>
              </w:p>
            </w:sdtContent>
          </w:sdt>
        </w:tc>
        <w:tc>
          <w:tcPr>
            <w:tcW w:w="0" w:type="auto"/>
          </w:tcPr>
          <w:p w14:paraId="2C4DC0F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3DEFFB3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Germany</w:t>
            </w:r>
          </w:p>
        </w:tc>
        <w:tc>
          <w:tcPr>
            <w:tcW w:w="0" w:type="auto"/>
          </w:tcPr>
          <w:p w14:paraId="3A84B3F6"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renewables</w:t>
            </w:r>
          </w:p>
        </w:tc>
      </w:tr>
      <w:tr w:rsidR="000055AD" w14:paraId="35601AC0"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5355780E"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{"citationID":"dCvTShqy","properties":{"formattedCitation":"(Thapar, Sharma, and Verma 2018)","plainCitation":"(Thapar, Sharma, and Verma 2018)","noteIndex":0},"citationItems":[{"id":35562,"uris":["http://zotero.org/groups/52011/items/L986S6VY"],"itemData":{"id":35562,"type":"article-journal","container-title":"Energy for Sustainable Development","DOI":"10.1016/j.esd.2018.05.003","note":"publisher: Elsevier BV","page":"66–78","title":"Analyzing solar auctions in India: Identifying key determinants","volume":"45","author":[{"family":"Thapar","given":"Sapan"},{"family":"Sharma","given":"Seema"},{"family":"Verma","given":"Ashu"}],"issued":{"date-parts":[["2018",8]]}}}],"schema":"https://github.com/citation-style-language/schema/raw/master/csl-citation.json"} </w:instrText>
            </w:r>
            <w:r>
              <w:rPr>
                <w:rFonts w:cs="Times New Roman"/>
                <w:szCs w:val="20"/>
              </w:rPr>
              <w:fldChar w:fldCharType="separate"/>
            </w:r>
            <w:r>
              <w:rPr>
                <w:rFonts w:cs="Times New Roman"/>
                <w:szCs w:val="20"/>
              </w:rPr>
              <w:t>(Thapar, Sharma, and Verma 2018)</w:t>
            </w:r>
            <w:r>
              <w:rPr>
                <w:rFonts w:cs="Times New Roman"/>
                <w:szCs w:val="20"/>
              </w:rPr>
              <w:fldChar w:fldCharType="end"/>
            </w:r>
          </w:p>
        </w:tc>
        <w:tc>
          <w:tcPr>
            <w:tcW w:w="0" w:type="auto"/>
          </w:tcPr>
          <w:sdt>
            <w:sdtPr>
              <w:rPr>
                <w:rFonts w:cs="Times New Roman"/>
                <w:szCs w:val="20"/>
              </w:rPr>
              <w:tag w:val="goog_rdk_1175"/>
              <w:id w:val="-1861652463"/>
            </w:sdtPr>
            <w:sdtContent>
              <w:p w14:paraId="10EBA048"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172"/>
                    <w:id w:val="370018799"/>
                  </w:sdtPr>
                  <w:sdtContent>
                    <w:sdt>
                      <w:sdtPr>
                        <w:rPr>
                          <w:rFonts w:cs="Times New Roman"/>
                          <w:szCs w:val="20"/>
                        </w:rPr>
                        <w:tag w:val="goog_rdk_1173"/>
                        <w:id w:val="-157179539"/>
                      </w:sdtPr>
                      <w:sdtContent>
                        <w:r w:rsidR="004B772A">
                          <w:rPr>
                            <w:rFonts w:eastAsia="Calibri" w:cs="Times New Roman"/>
                            <w:szCs w:val="20"/>
                          </w:rPr>
                          <w:t>48</w:t>
                        </w:r>
                      </w:sdtContent>
                    </w:sdt>
                    <w:sdt>
                      <w:sdtPr>
                        <w:rPr>
                          <w:rFonts w:cs="Times New Roman"/>
                          <w:szCs w:val="20"/>
                        </w:rPr>
                        <w:tag w:val="goog_rdk_1174"/>
                        <w:id w:val="1060588742"/>
                        <w:showingPlcHdr/>
                      </w:sdtPr>
                      <w:sdtContent>
                        <w:r w:rsidR="004B772A">
                          <w:t>    </w:t>
                        </w:r>
                      </w:sdtContent>
                    </w:sdt>
                  </w:sdtContent>
                </w:sdt>
              </w:p>
            </w:sdtContent>
          </w:sdt>
        </w:tc>
        <w:tc>
          <w:tcPr>
            <w:tcW w:w="0" w:type="auto"/>
          </w:tcPr>
          <w:sdt>
            <w:sdtPr>
              <w:rPr>
                <w:rFonts w:cs="Times New Roman"/>
                <w:szCs w:val="20"/>
              </w:rPr>
              <w:tag w:val="goog_rdk_1179"/>
              <w:id w:val="1993845752"/>
            </w:sdtPr>
            <w:sdtContent>
              <w:p w14:paraId="3A70B2EA"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176"/>
                    <w:id w:val="423912366"/>
                  </w:sdtPr>
                  <w:sdtContent>
                    <w:sdt>
                      <w:sdtPr>
                        <w:rPr>
                          <w:rFonts w:cs="Times New Roman"/>
                          <w:szCs w:val="20"/>
                        </w:rPr>
                        <w:tag w:val="goog_rdk_1177"/>
                        <w:id w:val="-447025707"/>
                      </w:sdtPr>
                      <w:sdtContent>
                        <w:r w:rsidR="004B772A">
                          <w:rPr>
                            <w:rFonts w:eastAsia="Calibri" w:cs="Times New Roman"/>
                            <w:szCs w:val="20"/>
                          </w:rPr>
                          <w:t>Planners</w:t>
                        </w:r>
                      </w:sdtContent>
                    </w:sdt>
                    <w:sdt>
                      <w:sdtPr>
                        <w:rPr>
                          <w:rFonts w:cs="Times New Roman"/>
                          <w:szCs w:val="20"/>
                        </w:rPr>
                        <w:tag w:val="goog_rdk_1178"/>
                        <w:id w:val="1227806014"/>
                        <w:showingPlcHdr/>
                      </w:sdtPr>
                      <w:sdtContent>
                        <w:r w:rsidR="004B772A">
                          <w:t>    </w:t>
                        </w:r>
                      </w:sdtContent>
                    </w:sdt>
                  </w:sdtContent>
                </w:sdt>
              </w:p>
            </w:sdtContent>
          </w:sdt>
        </w:tc>
        <w:tc>
          <w:tcPr>
            <w:tcW w:w="0" w:type="auto"/>
          </w:tcPr>
          <w:p w14:paraId="108C7CCC"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mixed methods </w:t>
            </w:r>
          </w:p>
        </w:tc>
        <w:tc>
          <w:tcPr>
            <w:tcW w:w="0" w:type="auto"/>
          </w:tcPr>
          <w:p w14:paraId="789C6404"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India</w:t>
            </w:r>
          </w:p>
        </w:tc>
        <w:tc>
          <w:tcPr>
            <w:tcW w:w="0" w:type="auto"/>
          </w:tcPr>
          <w:p w14:paraId="22B5D95A"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w:t>
            </w:r>
          </w:p>
        </w:tc>
      </w:tr>
      <w:tr w:rsidR="000055AD" w14:paraId="5E5221E8"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2EF1569"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{"citationID":"75v6AbWq","properties":{"formattedCitation":"(Tiedemann and M\\uc0\\u252{}ller-Hansen 2023)","plainCitation":"(Tiedemann and Müller-Hansen 2023)","noteIndex":0},"citationItems":[{"id":63531,"uris":["http://zotero.org/groups/52011/items/I3FBM82W"],"itemData":{"id":63531,"type":"article-journal","container-title":"Energy Policy","DOI":"10.1016/j.enpol.2022.113387","ISSN":"0301-4215","note":"publisher: Elsevier BV","page":"113387","title":"Auctions to phase out coal power: Lessons learned from Germany","volume":"174","author":[{"family":"Tiedemann","given":"Silvana"},{"family":"Müller-Hansen","given":"Finn"}],"issued":{"date-parts":[["2023",3]]}}}],"schema":"https://github.com/citation-style-language/schema/raw/master/csl-citation.json"} </w:instrText>
            </w:r>
            <w:r>
              <w:rPr>
                <w:rFonts w:cs="Times New Roman"/>
                <w:szCs w:val="20"/>
              </w:rPr>
              <w:fldChar w:fldCharType="separate"/>
            </w:r>
            <w:r>
              <w:rPr>
                <w:rFonts w:cs="Times New Roman"/>
                <w:szCs w:val="20"/>
              </w:rPr>
              <w:t>(Tiedemann and Müller-Hansen 2023)</w:t>
            </w:r>
            <w:r>
              <w:rPr>
                <w:rFonts w:cs="Times New Roman"/>
                <w:szCs w:val="20"/>
              </w:rPr>
              <w:fldChar w:fldCharType="end"/>
            </w:r>
          </w:p>
        </w:tc>
        <w:tc>
          <w:tcPr>
            <w:tcW w:w="0" w:type="auto"/>
          </w:tcPr>
          <w:sdt>
            <w:sdtPr>
              <w:rPr>
                <w:rFonts w:cs="Times New Roman"/>
                <w:szCs w:val="20"/>
              </w:rPr>
              <w:tag w:val="goog_rdk_1199"/>
              <w:id w:val="-854082580"/>
            </w:sdtPr>
            <w:sdtContent>
              <w:p w14:paraId="691538EE"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196"/>
                    <w:id w:val="694868091"/>
                  </w:sdtPr>
                  <w:sdtContent>
                    <w:sdt>
                      <w:sdtPr>
                        <w:rPr>
                          <w:rFonts w:cs="Times New Roman"/>
                          <w:szCs w:val="20"/>
                        </w:rPr>
                        <w:tag w:val="goog_rdk_1197"/>
                        <w:id w:val="941391840"/>
                      </w:sdtPr>
                      <w:sdtContent>
                        <w:r w:rsidR="004B772A">
                          <w:rPr>
                            <w:rFonts w:eastAsia="Calibri" w:cs="Times New Roman"/>
                            <w:szCs w:val="20"/>
                          </w:rPr>
                          <w:t>49</w:t>
                        </w:r>
                      </w:sdtContent>
                    </w:sdt>
                    <w:sdt>
                      <w:sdtPr>
                        <w:rPr>
                          <w:rFonts w:cs="Times New Roman"/>
                          <w:szCs w:val="20"/>
                        </w:rPr>
                        <w:tag w:val="goog_rdk_1198"/>
                        <w:id w:val="44877451"/>
                        <w:showingPlcHdr/>
                      </w:sdtPr>
                      <w:sdtContent>
                        <w:r w:rsidR="004B772A">
                          <w:t>    </w:t>
                        </w:r>
                      </w:sdtContent>
                    </w:sdt>
                  </w:sdtContent>
                </w:sdt>
              </w:p>
            </w:sdtContent>
          </w:sdt>
        </w:tc>
        <w:tc>
          <w:tcPr>
            <w:tcW w:w="0" w:type="auto"/>
          </w:tcPr>
          <w:sdt>
            <w:sdtPr>
              <w:rPr>
                <w:rFonts w:cs="Times New Roman"/>
                <w:szCs w:val="20"/>
              </w:rPr>
              <w:tag w:val="goog_rdk_1203"/>
              <w:id w:val="-1029161705"/>
            </w:sdtPr>
            <w:sdtContent>
              <w:p w14:paraId="6E35EFDB"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200"/>
                    <w:id w:val="-777560999"/>
                  </w:sdtPr>
                  <w:sdtContent>
                    <w:sdt>
                      <w:sdtPr>
                        <w:rPr>
                          <w:rFonts w:cs="Times New Roman"/>
                          <w:szCs w:val="20"/>
                        </w:rPr>
                        <w:tag w:val="goog_rdk_1201"/>
                        <w:id w:val="-266411699"/>
                      </w:sdtPr>
                      <w:sdtContent>
                        <w:r w:rsidR="004B772A">
                          <w:rPr>
                            <w:rFonts w:eastAsia="Calibri" w:cs="Times New Roman"/>
                            <w:szCs w:val="20"/>
                          </w:rPr>
                          <w:t>Coal Dependent &amp; Climate Leaders</w:t>
                        </w:r>
                      </w:sdtContent>
                    </w:sdt>
                    <w:sdt>
                      <w:sdtPr>
                        <w:rPr>
                          <w:rFonts w:cs="Times New Roman"/>
                          <w:szCs w:val="20"/>
                        </w:rPr>
                        <w:tag w:val="goog_rdk_1202"/>
                        <w:id w:val="-1418149296"/>
                        <w:showingPlcHdr/>
                      </w:sdtPr>
                      <w:sdtContent>
                        <w:r w:rsidR="004B772A">
                          <w:t>    </w:t>
                        </w:r>
                      </w:sdtContent>
                    </w:sdt>
                  </w:sdtContent>
                </w:sdt>
              </w:p>
            </w:sdtContent>
          </w:sdt>
        </w:tc>
        <w:tc>
          <w:tcPr>
            <w:tcW w:w="0" w:type="auto"/>
          </w:tcPr>
          <w:p w14:paraId="263F85E4"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6E0053DE"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Germany</w:t>
            </w:r>
          </w:p>
        </w:tc>
        <w:tc>
          <w:tcPr>
            <w:tcW w:w="0" w:type="auto"/>
          </w:tcPr>
          <w:p w14:paraId="1D9E55E6"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coal</w:t>
            </w:r>
          </w:p>
        </w:tc>
      </w:tr>
      <w:tr w:rsidR="000055AD" w14:paraId="52489F59"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0FEBBAD1" w14:textId="77777777" w:rsidR="000055AD" w:rsidRDefault="004B772A">
            <w:pPr>
              <w:jc w:val="left"/>
              <w:rPr>
                <w:rFonts w:cs="Times New Roman"/>
                <w:szCs w:val="20"/>
              </w:rPr>
            </w:pPr>
            <w:r>
              <w:rPr>
                <w:rFonts w:cs="Times New Roman"/>
                <w:szCs w:val="20"/>
              </w:rPr>
              <w:lastRenderedPageBreak/>
              <w:fldChar w:fldCharType="begin"/>
            </w:r>
            <w:r>
              <w:rPr>
                <w:rFonts w:cs="Times New Roman"/>
                <w:szCs w:val="20"/>
              </w:rPr>
              <w:instrText xml:space="preserve"> ADDIN ZOTERO_ITEM CSL_CITATION {"citationID":"pZnbSId4","properties":{"formattedCitation":"(Walk and Stognief 2022)","plainCitation":"(Walk and Stognief 2022)","noteIndex":0},"citationItems":[{"id":51627,"uris":["http://zotero.org/groups/52011/items/QWRURTTW"],"itemData":{"id":51627,"type":"article-journal","abstract":"In order to still be able to meet the targets of the Paris Agreement, global net greenhouse gas emissions must be reduced to zero by the middle of the century. One decisive step towards this goal will be phasing out coal. The UK has led the way as one of the first countries to not only phase out coal by 2024, but also set a net zero target for 2050. Based on 22 expert interviews, we analyse which objectives, actors, and contextual factors were relevant for the two decisions, and which continuities emerge in UK climate policy. We find that the coal phase-out was not primarily driven by the decision to phase out coal in 2015, but by policies (e.g., the CO2 price) and other contextual factors (e.g., the old coal fleet) that were not initially associated with the phase-out. The recommendations by the Committee on Climate Change, a general political mood calling for more climate protection, and the Conservative Party's desire to show climate protection ambitions played an important role in the net zero decision. Continuities driving both decisions can be seen in the relevance of scientific expertise in UK politics, strong social movements, favourable cost arguments, and a political consensus emerging among the relevant political parties. From a climate justice perspective, however, industrialised nations such as the UK should become carbon neutral sooner than 2050, given the historical responsibility for carbon emissions and economic preconditions that countries in the Global South do not have. © 2022 Elsevier Ltd","container-title":"Environmental Science and Policy","DOI":"10.1016/j.envsci.2022.09.019","page":"76-84","title":"From coal phase-out to net zero: Driving factors of UK climate policy","volume":"138","author":[{"family":"Walk","given":"P."},{"family":"Stognief","given":"N."}],"issued":{"date-parts":[["2022"]]}}}],"schema":"https://github.com/citation-style-language/schema/raw/master/csl-citation.json"} </w:instrText>
            </w:r>
            <w:r>
              <w:rPr>
                <w:rFonts w:cs="Times New Roman"/>
                <w:szCs w:val="20"/>
              </w:rPr>
              <w:fldChar w:fldCharType="separate"/>
            </w:r>
            <w:r>
              <w:rPr>
                <w:rFonts w:cs="Times New Roman"/>
                <w:szCs w:val="20"/>
              </w:rPr>
              <w:t>(Walk and Stognief 2022)</w:t>
            </w:r>
            <w:r>
              <w:rPr>
                <w:rFonts w:cs="Times New Roman"/>
                <w:szCs w:val="20"/>
              </w:rPr>
              <w:fldChar w:fldCharType="end"/>
            </w:r>
          </w:p>
        </w:tc>
        <w:tc>
          <w:tcPr>
            <w:tcW w:w="0" w:type="auto"/>
          </w:tcPr>
          <w:sdt>
            <w:sdtPr>
              <w:rPr>
                <w:rFonts w:cs="Times New Roman"/>
                <w:szCs w:val="20"/>
              </w:rPr>
              <w:tag w:val="goog_rdk_1223"/>
              <w:id w:val="265543596"/>
            </w:sdtPr>
            <w:sdtContent>
              <w:p w14:paraId="616AAF3A"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220"/>
                    <w:id w:val="664140151"/>
                  </w:sdtPr>
                  <w:sdtContent>
                    <w:sdt>
                      <w:sdtPr>
                        <w:rPr>
                          <w:rFonts w:cs="Times New Roman"/>
                          <w:szCs w:val="20"/>
                        </w:rPr>
                        <w:tag w:val="goog_rdk_1221"/>
                        <w:id w:val="427557552"/>
                      </w:sdtPr>
                      <w:sdtContent>
                        <w:r w:rsidR="004B772A">
                          <w:rPr>
                            <w:rFonts w:eastAsia="Calibri" w:cs="Times New Roman"/>
                            <w:szCs w:val="20"/>
                          </w:rPr>
                          <w:t>50</w:t>
                        </w:r>
                      </w:sdtContent>
                    </w:sdt>
                    <w:sdt>
                      <w:sdtPr>
                        <w:rPr>
                          <w:rFonts w:cs="Times New Roman"/>
                          <w:szCs w:val="20"/>
                        </w:rPr>
                        <w:tag w:val="goog_rdk_1222"/>
                        <w:id w:val="847576956"/>
                        <w:showingPlcHdr/>
                      </w:sdtPr>
                      <w:sdtContent>
                        <w:r w:rsidR="004B772A">
                          <w:t>    </w:t>
                        </w:r>
                      </w:sdtContent>
                    </w:sdt>
                  </w:sdtContent>
                </w:sdt>
              </w:p>
            </w:sdtContent>
          </w:sdt>
        </w:tc>
        <w:tc>
          <w:tcPr>
            <w:tcW w:w="0" w:type="auto"/>
          </w:tcPr>
          <w:sdt>
            <w:sdtPr>
              <w:rPr>
                <w:rFonts w:cs="Times New Roman"/>
                <w:szCs w:val="20"/>
              </w:rPr>
              <w:tag w:val="goog_rdk_1227"/>
              <w:id w:val="-1112027335"/>
            </w:sdtPr>
            <w:sdtContent>
              <w:p w14:paraId="54D132F7"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224"/>
                    <w:id w:val="-119552889"/>
                  </w:sdtPr>
                  <w:sdtContent>
                    <w:sdt>
                      <w:sdtPr>
                        <w:rPr>
                          <w:rFonts w:cs="Times New Roman"/>
                          <w:szCs w:val="20"/>
                        </w:rPr>
                        <w:tag w:val="goog_rdk_1225"/>
                        <w:id w:val="-857452976"/>
                      </w:sdtPr>
                      <w:sdtContent>
                        <w:r w:rsidR="004B772A">
                          <w:rPr>
                            <w:rFonts w:eastAsia="Calibri" w:cs="Times New Roman"/>
                            <w:szCs w:val="20"/>
                          </w:rPr>
                          <w:t>Liberalized &amp; Coal Independent</w:t>
                        </w:r>
                      </w:sdtContent>
                    </w:sdt>
                    <w:sdt>
                      <w:sdtPr>
                        <w:rPr>
                          <w:rFonts w:cs="Times New Roman"/>
                          <w:szCs w:val="20"/>
                        </w:rPr>
                        <w:tag w:val="goog_rdk_1226"/>
                        <w:id w:val="12940715"/>
                        <w:showingPlcHdr/>
                      </w:sdtPr>
                      <w:sdtContent>
                        <w:r w:rsidR="004B772A">
                          <w:t>    </w:t>
                        </w:r>
                      </w:sdtContent>
                    </w:sdt>
                  </w:sdtContent>
                </w:sdt>
              </w:p>
            </w:sdtContent>
          </w:sdt>
        </w:tc>
        <w:tc>
          <w:tcPr>
            <w:tcW w:w="0" w:type="auto"/>
          </w:tcPr>
          <w:p w14:paraId="789D00F9"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3A3B491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UK</w:t>
            </w:r>
          </w:p>
        </w:tc>
        <w:tc>
          <w:tcPr>
            <w:tcW w:w="0" w:type="auto"/>
          </w:tcPr>
          <w:p w14:paraId="0F6FE24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coal</w:t>
            </w:r>
          </w:p>
        </w:tc>
      </w:tr>
      <w:tr w:rsidR="000055AD" w14:paraId="76FE2EC6"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7160634"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{"citationID":"rNC1q3JJ","properties":{"formattedCitation":"(Wurster and Hagemann 2020)","plainCitation":"(Wurster and Hagemann 2020)","noteIndex":0},"citationItems":[{"id":52289,"uris":["http://zotero.org/groups/52011/items/WW5VUGYW"],"itemData":{"id":52289,"type":"article-journal","abstract":"In the face of accelerating climate change, the transition towards a nonnuclear renewable energy system represents a key political challenge, which can be aggravated by the increasing energy supply uncertainty created by the shift away from fossil fuels. In this article, we conduct a comparison of the expansion of renewable energy sources in Austria, Belgium, and Germany at the level of their subnational units (federal states), thereby covering three economically very important central European federal European Union members. We consider potentially influential factors in a fuzzy-set qualitative comparative analysis: In addition to state-specific socioeconomic and geographical characteristics, political factors, such as parties in government, and specific energy-related policy instruments are included in the analysis. We find that a high potential for renewable electricity expansion in combination with low financial prosperity is most likely to lead to a successful expansion of renewable electricity production from wind and photovoltaics. © The Author(s) 2019.","container-title":"Journal of Environment and Development","DOI":"10.1177/1070496519887488","issue":"1","page":"147-168","title":"Expansion of Renewable Energy in Federal Settings: Austria, Belgium, and Germany in Comparison","volume":"29","author":[{"family":"Wurster","given":"S."},{"family":"Hagemann","given":"C."}],"issued":{"date-parts":[["2020"]]}}}],"schema":"https://github.com/citation-style-language/schema/raw/master/csl-citation.json"} </w:instrText>
            </w:r>
            <w:r>
              <w:rPr>
                <w:rFonts w:cs="Times New Roman"/>
                <w:szCs w:val="20"/>
              </w:rPr>
              <w:fldChar w:fldCharType="separate"/>
            </w:r>
            <w:r>
              <w:rPr>
                <w:rFonts w:cs="Times New Roman"/>
                <w:szCs w:val="20"/>
              </w:rPr>
              <w:t>(Wurster and Hagemann 2020)</w:t>
            </w:r>
            <w:r>
              <w:rPr>
                <w:rFonts w:cs="Times New Roman"/>
                <w:szCs w:val="20"/>
              </w:rPr>
              <w:fldChar w:fldCharType="end"/>
            </w:r>
          </w:p>
        </w:tc>
        <w:tc>
          <w:tcPr>
            <w:tcW w:w="0" w:type="auto"/>
          </w:tcPr>
          <w:sdt>
            <w:sdtPr>
              <w:rPr>
                <w:rFonts w:cs="Times New Roman"/>
                <w:szCs w:val="20"/>
              </w:rPr>
              <w:tag w:val="goog_rdk_1247"/>
              <w:id w:val="1810506805"/>
            </w:sdtPr>
            <w:sdtContent>
              <w:p w14:paraId="32F8CFCF"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244"/>
                    <w:id w:val="-1211929078"/>
                  </w:sdtPr>
                  <w:sdtContent>
                    <w:sdt>
                      <w:sdtPr>
                        <w:rPr>
                          <w:rFonts w:cs="Times New Roman"/>
                          <w:szCs w:val="20"/>
                        </w:rPr>
                        <w:tag w:val="goog_rdk_1245"/>
                        <w:id w:val="-146115337"/>
                      </w:sdtPr>
                      <w:sdtContent>
                        <w:r w:rsidR="004B772A">
                          <w:rPr>
                            <w:rFonts w:eastAsia="Calibri" w:cs="Times New Roman"/>
                            <w:szCs w:val="20"/>
                          </w:rPr>
                          <w:t>51</w:t>
                        </w:r>
                      </w:sdtContent>
                    </w:sdt>
                    <w:sdt>
                      <w:sdtPr>
                        <w:rPr>
                          <w:rFonts w:cs="Times New Roman"/>
                          <w:szCs w:val="20"/>
                        </w:rPr>
                        <w:tag w:val="goog_rdk_1246"/>
                        <w:id w:val="1815897217"/>
                        <w:showingPlcHdr/>
                      </w:sdtPr>
                      <w:sdtContent>
                        <w:r w:rsidR="004B772A">
                          <w:t>    </w:t>
                        </w:r>
                      </w:sdtContent>
                    </w:sdt>
                  </w:sdtContent>
                </w:sdt>
              </w:p>
            </w:sdtContent>
          </w:sdt>
        </w:tc>
        <w:tc>
          <w:tcPr>
            <w:tcW w:w="0" w:type="auto"/>
          </w:tcPr>
          <w:sdt>
            <w:sdtPr>
              <w:rPr>
                <w:rFonts w:cs="Times New Roman"/>
                <w:szCs w:val="20"/>
              </w:rPr>
              <w:tag w:val="goog_rdk_1251"/>
              <w:id w:val="-2017857560"/>
            </w:sdtPr>
            <w:sdtContent>
              <w:p w14:paraId="0E4906A7"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248"/>
                    <w:id w:val="203865654"/>
                  </w:sdtPr>
                  <w:sdtContent>
                    <w:sdt>
                      <w:sdtPr>
                        <w:rPr>
                          <w:rFonts w:cs="Times New Roman"/>
                          <w:szCs w:val="20"/>
                        </w:rPr>
                        <w:tag w:val="goog_rdk_1249"/>
                        <w:id w:val="-971160537"/>
                      </w:sdtPr>
                      <w:sdtContent>
                        <w:r w:rsidR="004B772A">
                          <w:rPr>
                            <w:rFonts w:eastAsia="Calibri" w:cs="Times New Roman"/>
                            <w:szCs w:val="20"/>
                          </w:rPr>
                          <w:t>Strategists</w:t>
                        </w:r>
                      </w:sdtContent>
                    </w:sdt>
                    <w:sdt>
                      <w:sdtPr>
                        <w:rPr>
                          <w:rFonts w:cs="Times New Roman"/>
                          <w:szCs w:val="20"/>
                        </w:rPr>
                        <w:tag w:val="goog_rdk_1250"/>
                        <w:id w:val="-1433669993"/>
                        <w:showingPlcHdr/>
                      </w:sdtPr>
                      <w:sdtContent>
                        <w:r w:rsidR="004B772A">
                          <w:t>    </w:t>
                        </w:r>
                      </w:sdtContent>
                    </w:sdt>
                  </w:sdtContent>
                </w:sdt>
              </w:p>
            </w:sdtContent>
          </w:sdt>
        </w:tc>
        <w:tc>
          <w:tcPr>
            <w:tcW w:w="0" w:type="auto"/>
          </w:tcPr>
          <w:p w14:paraId="2290EEF7"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2D2C3959"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Austria, Germany</w:t>
            </w:r>
          </w:p>
        </w:tc>
        <w:tc>
          <w:tcPr>
            <w:tcW w:w="0" w:type="auto"/>
          </w:tcPr>
          <w:p w14:paraId="14A0C6FA"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renewables</w:t>
            </w:r>
          </w:p>
        </w:tc>
      </w:tr>
      <w:tr w:rsidR="000055AD" w14:paraId="5F72CA62"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1055467D"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{"citationID":"6CCD6WAk","properties":{"formattedCitation":"(Wurster and Hagemann 2018)","plainCitation":"(Wurster and Hagemann 2018)","noteIndex":0},"citationItems":[{"id":52288,"uris":["http://zotero.org/groups/52011/items/3GRT4IBV"],"itemData":{"id":52288,"type":"article-journal","abstract":"Expansion of renewable energies is a central pillar of the German energy transition towards a non-nuclear renewable system. The expansion rate is co-determined to a significant degree at the level of the federal states, and varies considerably from state to state. Apart from the existence of natural energy resources and general economic conditions, do parties in government play an important role for the development at the state level? We consider potentially influential factors in a fuzzy-set Qualitative Comparative Analysis (fsQCA) focusing on the expansion of renewable electricity production in all 16 federal German states from 2004 to 2014. As a result, two promising ways for accelerated expansion of renewable electricity production can be identified. On the one hand, a group of economically less developed states have succeeded in promoting expansion and uses it as part of an economic modernization strategy. Within the economically more developed states, however, the party-political composition of the state governments (Green party's involvement) plays a significant role. These results also have implications for other (federal) countries beyond Germany, pointing to tailor-made policy strategies that consider these specific circumstances. © 2018 Elsevier Ltd","container-title":"Energy Policy","DOI":"10.1016/j.enpol.2018.04.059","page":"610-619","title":"Two ways to success expansion of renewable energies in comparison between Germany's federal states","volume":"119","author":[{"family":"Wurster","given":"S."},{"family":"Hagemann","given":"C."}],"issued":{"date-parts":[["2018"]]}}}],"schema":"https://github.com/citation-style-language/schema/raw/master/csl-citation.json"} </w:instrText>
            </w:r>
            <w:r>
              <w:rPr>
                <w:rFonts w:cs="Times New Roman"/>
                <w:szCs w:val="20"/>
              </w:rPr>
              <w:fldChar w:fldCharType="separate"/>
            </w:r>
            <w:r>
              <w:rPr>
                <w:rFonts w:cs="Times New Roman"/>
                <w:szCs w:val="20"/>
              </w:rPr>
              <w:t>(Wurster and Hagemann 2018)</w:t>
            </w:r>
            <w:r>
              <w:rPr>
                <w:rFonts w:cs="Times New Roman"/>
                <w:szCs w:val="20"/>
              </w:rPr>
              <w:fldChar w:fldCharType="end"/>
            </w:r>
          </w:p>
        </w:tc>
        <w:tc>
          <w:tcPr>
            <w:tcW w:w="0" w:type="auto"/>
          </w:tcPr>
          <w:sdt>
            <w:sdtPr>
              <w:rPr>
                <w:rFonts w:cs="Times New Roman"/>
                <w:szCs w:val="20"/>
              </w:rPr>
              <w:tag w:val="goog_rdk_1271"/>
              <w:id w:val="1342036852"/>
            </w:sdtPr>
            <w:sdtContent>
              <w:p w14:paraId="327DD3E5"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268"/>
                    <w:id w:val="-1219554512"/>
                  </w:sdtPr>
                  <w:sdtContent>
                    <w:sdt>
                      <w:sdtPr>
                        <w:rPr>
                          <w:rFonts w:cs="Times New Roman"/>
                          <w:szCs w:val="20"/>
                        </w:rPr>
                        <w:tag w:val="goog_rdk_1269"/>
                        <w:id w:val="849013228"/>
                      </w:sdtPr>
                      <w:sdtContent>
                        <w:r w:rsidR="004B772A">
                          <w:rPr>
                            <w:rFonts w:eastAsia="Calibri" w:cs="Times New Roman"/>
                            <w:szCs w:val="20"/>
                          </w:rPr>
                          <w:t>52</w:t>
                        </w:r>
                      </w:sdtContent>
                    </w:sdt>
                    <w:sdt>
                      <w:sdtPr>
                        <w:rPr>
                          <w:rFonts w:cs="Times New Roman"/>
                          <w:szCs w:val="20"/>
                        </w:rPr>
                        <w:tag w:val="goog_rdk_1270"/>
                        <w:id w:val="320652652"/>
                        <w:showingPlcHdr/>
                      </w:sdtPr>
                      <w:sdtContent>
                        <w:r w:rsidR="004B772A">
                          <w:t>    </w:t>
                        </w:r>
                      </w:sdtContent>
                    </w:sdt>
                  </w:sdtContent>
                </w:sdt>
              </w:p>
            </w:sdtContent>
          </w:sdt>
        </w:tc>
        <w:tc>
          <w:tcPr>
            <w:tcW w:w="0" w:type="auto"/>
          </w:tcPr>
          <w:sdt>
            <w:sdtPr>
              <w:rPr>
                <w:rFonts w:cs="Times New Roman"/>
                <w:szCs w:val="20"/>
              </w:rPr>
              <w:tag w:val="goog_rdk_1275"/>
              <w:id w:val="1187851027"/>
            </w:sdtPr>
            <w:sdtContent>
              <w:p w14:paraId="2036D1A8"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272"/>
                    <w:id w:val="1715179670"/>
                  </w:sdtPr>
                  <w:sdtContent>
                    <w:sdt>
                      <w:sdtPr>
                        <w:rPr>
                          <w:rFonts w:cs="Times New Roman"/>
                          <w:szCs w:val="20"/>
                        </w:rPr>
                        <w:tag w:val="goog_rdk_1273"/>
                        <w:id w:val="-1671969433"/>
                      </w:sdtPr>
                      <w:sdtContent>
                        <w:r w:rsidR="004B772A">
                          <w:rPr>
                            <w:rFonts w:eastAsia="Calibri" w:cs="Times New Roman"/>
                            <w:szCs w:val="20"/>
                          </w:rPr>
                          <w:t>Strategists</w:t>
                        </w:r>
                      </w:sdtContent>
                    </w:sdt>
                    <w:sdt>
                      <w:sdtPr>
                        <w:rPr>
                          <w:rFonts w:cs="Times New Roman"/>
                          <w:szCs w:val="20"/>
                        </w:rPr>
                        <w:tag w:val="goog_rdk_1274"/>
                        <w:id w:val="971724997"/>
                        <w:showingPlcHdr/>
                      </w:sdtPr>
                      <w:sdtContent>
                        <w:r w:rsidR="004B772A">
                          <w:t>    </w:t>
                        </w:r>
                      </w:sdtContent>
                    </w:sdt>
                  </w:sdtContent>
                </w:sdt>
              </w:p>
            </w:sdtContent>
          </w:sdt>
        </w:tc>
        <w:tc>
          <w:tcPr>
            <w:tcW w:w="0" w:type="auto"/>
          </w:tcPr>
          <w:p w14:paraId="7215EF39"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4E874BB4"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Germany</w:t>
            </w:r>
          </w:p>
        </w:tc>
        <w:tc>
          <w:tcPr>
            <w:tcW w:w="0" w:type="auto"/>
          </w:tcPr>
          <w:p w14:paraId="377004BE"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renewables</w:t>
            </w:r>
          </w:p>
        </w:tc>
      </w:tr>
      <w:tr w:rsidR="000055AD" w14:paraId="386B7FDE"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1CAF7E1"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{"citationID":"c78csoXv","properties":{"formattedCitation":"(Ydersbond and Korsnes 2016)","plainCitation":"(Ydersbond and Korsnes 2016)","noteIndex":0},"citationItems":[{"id":52615,"uris":["http://zotero.org/groups/52011/items/2DA9L55W"],"itemData":{"id":52615,"type":"article-journal","abstract":"Although the expansion of new renewable energy has been dependent on support in state policies, the research literature has scant focus on the political motivations for implementing policies to stimulate such development. The growth of wind power is an illustrative case of renewables expansion, as this is the most mature of the new renewable technologies. What can explain the rapid development of wind power production capacity in the EU and in China, despite their very different political systems and basic preconditions? Applying the method of most-different systems design in combination with document studies and interviewing, this article demonstrates how large-scale investments in wind power have come about through a specific set of political motivations backed by strong governmental support policies with similar main aims: security of energy supply, creating future-oriented industries and employment, and reducing greenhouse gas emissions and local pollution. These three factors together, broadly perceived, might also explain the political motivations that drive large investment in new renewable energy sources elsewhere.1 © 2015 Elsevier Ltd.","container-title":"Energy Research and Social Science","DOI":"10.1016/j.erss.2015.11.003","page":"50-61","title":"What drives investment in wind energy? A comparative study of China and the European Union","volume":"12","author":[{"family":"Ydersbond","given":"I. M."},{"family":"Korsnes","given":"M. S."}],"issued":{"date-parts":[["2016"]]}}}],"schema":"https://github.com/citation-style-language/schema/raw/master/csl-citation.json"} </w:instrText>
            </w:r>
            <w:r>
              <w:rPr>
                <w:rFonts w:cs="Times New Roman"/>
                <w:szCs w:val="20"/>
              </w:rPr>
              <w:fldChar w:fldCharType="separate"/>
            </w:r>
            <w:r>
              <w:rPr>
                <w:rFonts w:cs="Times New Roman"/>
                <w:szCs w:val="20"/>
              </w:rPr>
              <w:t>(Ydersbond and Korsnes 2016)</w:t>
            </w:r>
            <w:r>
              <w:rPr>
                <w:rFonts w:cs="Times New Roman"/>
                <w:szCs w:val="20"/>
              </w:rPr>
              <w:fldChar w:fldCharType="end"/>
            </w:r>
          </w:p>
        </w:tc>
        <w:tc>
          <w:tcPr>
            <w:tcW w:w="0" w:type="auto"/>
          </w:tcPr>
          <w:sdt>
            <w:sdtPr>
              <w:rPr>
                <w:rFonts w:cs="Times New Roman"/>
                <w:szCs w:val="20"/>
              </w:rPr>
              <w:tag w:val="goog_rdk_1295"/>
              <w:id w:val="-809146304"/>
            </w:sdtPr>
            <w:sdtContent>
              <w:p w14:paraId="72944A40"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292"/>
                    <w:id w:val="292345764"/>
                  </w:sdtPr>
                  <w:sdtContent>
                    <w:sdt>
                      <w:sdtPr>
                        <w:rPr>
                          <w:rFonts w:cs="Times New Roman"/>
                          <w:szCs w:val="20"/>
                        </w:rPr>
                        <w:tag w:val="goog_rdk_1293"/>
                        <w:id w:val="-819475110"/>
                      </w:sdtPr>
                      <w:sdtContent>
                        <w:r w:rsidR="004B772A">
                          <w:rPr>
                            <w:rFonts w:eastAsia="Calibri" w:cs="Times New Roman"/>
                            <w:szCs w:val="20"/>
                          </w:rPr>
                          <w:t>53</w:t>
                        </w:r>
                      </w:sdtContent>
                    </w:sdt>
                    <w:sdt>
                      <w:sdtPr>
                        <w:rPr>
                          <w:rFonts w:cs="Times New Roman"/>
                          <w:szCs w:val="20"/>
                        </w:rPr>
                        <w:tag w:val="goog_rdk_1294"/>
                        <w:id w:val="-341156713"/>
                        <w:showingPlcHdr/>
                      </w:sdtPr>
                      <w:sdtContent>
                        <w:r w:rsidR="004B772A">
                          <w:t>    </w:t>
                        </w:r>
                      </w:sdtContent>
                    </w:sdt>
                  </w:sdtContent>
                </w:sdt>
              </w:p>
            </w:sdtContent>
          </w:sdt>
        </w:tc>
        <w:tc>
          <w:tcPr>
            <w:tcW w:w="0" w:type="auto"/>
          </w:tcPr>
          <w:sdt>
            <w:sdtPr>
              <w:rPr>
                <w:rFonts w:cs="Times New Roman"/>
                <w:szCs w:val="20"/>
              </w:rPr>
              <w:tag w:val="goog_rdk_1299"/>
              <w:id w:val="1310005880"/>
            </w:sdtPr>
            <w:sdtContent>
              <w:p w14:paraId="3DF17F72"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296"/>
                    <w:id w:val="156022902"/>
                  </w:sdtPr>
                  <w:sdtContent>
                    <w:sdt>
                      <w:sdtPr>
                        <w:rPr>
                          <w:rFonts w:cs="Times New Roman"/>
                          <w:szCs w:val="20"/>
                        </w:rPr>
                        <w:tag w:val="goog_rdk_1297"/>
                        <w:id w:val="622157523"/>
                      </w:sdtPr>
                      <w:sdtContent>
                        <w:r w:rsidR="004B772A">
                          <w:rPr>
                            <w:rFonts w:eastAsia="Calibri" w:cs="Times New Roman"/>
                            <w:szCs w:val="20"/>
                          </w:rPr>
                          <w:t>Planners</w:t>
                        </w:r>
                      </w:sdtContent>
                    </w:sdt>
                    <w:sdt>
                      <w:sdtPr>
                        <w:rPr>
                          <w:rFonts w:cs="Times New Roman"/>
                          <w:szCs w:val="20"/>
                        </w:rPr>
                        <w:tag w:val="goog_rdk_1298"/>
                        <w:id w:val="1700862453"/>
                        <w:showingPlcHdr/>
                      </w:sdtPr>
                      <w:sdtContent>
                        <w:r w:rsidR="004B772A">
                          <w:t>    </w:t>
                        </w:r>
                      </w:sdtContent>
                    </w:sdt>
                  </w:sdtContent>
                </w:sdt>
              </w:p>
            </w:sdtContent>
          </w:sdt>
        </w:tc>
        <w:tc>
          <w:tcPr>
            <w:tcW w:w="0" w:type="auto"/>
          </w:tcPr>
          <w:p w14:paraId="74B31E8A"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16A78414"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 xml:space="preserve">China, EU </w:t>
            </w:r>
          </w:p>
        </w:tc>
        <w:tc>
          <w:tcPr>
            <w:tcW w:w="0" w:type="auto"/>
          </w:tcPr>
          <w:p w14:paraId="3382B521"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wind</w:t>
            </w:r>
          </w:p>
        </w:tc>
      </w:tr>
      <w:tr w:rsidR="000055AD" w14:paraId="4FA04B19"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0F152910" w14:textId="77777777" w:rsidR="000055AD" w:rsidRDefault="004B772A">
            <w:pPr>
              <w:jc w:val="left"/>
              <w:rPr>
                <w:rFonts w:cs="Times New Roman"/>
                <w:szCs w:val="20"/>
                <w:lang w:val="de-DE"/>
              </w:rPr>
            </w:pPr>
            <w:r>
              <w:rPr>
                <w:rFonts w:cs="Times New Roman"/>
                <w:szCs w:val="20"/>
              </w:rPr>
              <w:fldChar w:fldCharType="begin"/>
            </w:r>
            <w:r>
              <w:rPr>
                <w:rFonts w:cs="Times New Roman"/>
                <w:szCs w:val="20"/>
                <w:lang w:val="de-DE"/>
              </w:rPr>
              <w:instrText xml:space="preserve"> ADDIN ZOTERO_ITEM CSL_CITATION {"citationID":"myhUYd21","properties":{"formattedCitation":"(A. H. Zhang et al. 2022)","plainCitation":"(A. H. Zhang et al. 2022)","noteIndex":0},"citationItems":[{"id":63521,"uris":["http://zotero.org/groups/52011/items/7AZXL3RY"],"itemData":{"id":63521,"type":"article-journal","container-title":"Energy Policy","DOI":"10.1016/j.enpol.2022.113044","ISSN":"0301-4215","note":"publisher: Elsevier BV","page":"113044","title":"An analysis of the factors driving utility-scale solar PV investments in China: How effective was the feed-in tariff policy?","volume":"167","author":[{"family":"Zhang","given":"Alex Hongliang"},{"family":"Sirin","given":"Selahattin Murat"},{"family":"Fan","given":"Conglai"},{"family":"Bu","given":"Maoliang"}],"issued":{"date-parts":[["2022",8]]}}}],"schema":"https://github.com/citation-style-language/schema/raw/master/csl-citation.json"} </w:instrText>
            </w:r>
            <w:r>
              <w:rPr>
                <w:rFonts w:cs="Times New Roman"/>
                <w:szCs w:val="20"/>
              </w:rPr>
              <w:fldChar w:fldCharType="separate"/>
            </w:r>
            <w:r>
              <w:rPr>
                <w:rFonts w:cs="Times New Roman"/>
                <w:szCs w:val="20"/>
                <w:lang w:val="de-DE"/>
              </w:rPr>
              <w:t>(A. H. Zhang et al. 2022)</w:t>
            </w:r>
            <w:r>
              <w:rPr>
                <w:rFonts w:cs="Times New Roman"/>
                <w:szCs w:val="20"/>
              </w:rPr>
              <w:fldChar w:fldCharType="end"/>
            </w:r>
          </w:p>
        </w:tc>
        <w:tc>
          <w:tcPr>
            <w:tcW w:w="0" w:type="auto"/>
          </w:tcPr>
          <w:sdt>
            <w:sdtPr>
              <w:rPr>
                <w:rFonts w:cs="Times New Roman"/>
                <w:szCs w:val="20"/>
              </w:rPr>
              <w:tag w:val="goog_rdk_1319"/>
              <w:id w:val="-314796459"/>
            </w:sdtPr>
            <w:sdtContent>
              <w:p w14:paraId="39D5143E"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316"/>
                    <w:id w:val="190013222"/>
                  </w:sdtPr>
                  <w:sdtContent>
                    <w:sdt>
                      <w:sdtPr>
                        <w:rPr>
                          <w:rFonts w:cs="Times New Roman"/>
                          <w:szCs w:val="20"/>
                        </w:rPr>
                        <w:tag w:val="goog_rdk_1317"/>
                        <w:id w:val="-501310802"/>
                      </w:sdtPr>
                      <w:sdtContent>
                        <w:r w:rsidR="004B772A">
                          <w:rPr>
                            <w:rFonts w:eastAsia="Calibri" w:cs="Times New Roman"/>
                            <w:szCs w:val="20"/>
                          </w:rPr>
                          <w:t>54</w:t>
                        </w:r>
                      </w:sdtContent>
                    </w:sdt>
                    <w:sdt>
                      <w:sdtPr>
                        <w:rPr>
                          <w:rFonts w:cs="Times New Roman"/>
                          <w:szCs w:val="20"/>
                        </w:rPr>
                        <w:tag w:val="goog_rdk_1318"/>
                        <w:id w:val="184770116"/>
                        <w:showingPlcHdr/>
                      </w:sdtPr>
                      <w:sdtContent>
                        <w:r w:rsidR="004B772A">
                          <w:t>    </w:t>
                        </w:r>
                      </w:sdtContent>
                    </w:sdt>
                  </w:sdtContent>
                </w:sdt>
              </w:p>
            </w:sdtContent>
          </w:sdt>
        </w:tc>
        <w:tc>
          <w:tcPr>
            <w:tcW w:w="0" w:type="auto"/>
          </w:tcPr>
          <w:sdt>
            <w:sdtPr>
              <w:rPr>
                <w:rFonts w:cs="Times New Roman"/>
                <w:szCs w:val="20"/>
              </w:rPr>
              <w:tag w:val="goog_rdk_1323"/>
              <w:id w:val="-93390178"/>
            </w:sdtPr>
            <w:sdtContent>
              <w:p w14:paraId="3E7668AA"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lang w:val="de-DE"/>
                  </w:rPr>
                </w:pPr>
                <w:sdt>
                  <w:sdtPr>
                    <w:rPr>
                      <w:rFonts w:cs="Times New Roman"/>
                      <w:szCs w:val="20"/>
                    </w:rPr>
                    <w:tag w:val="goog_rdk_1320"/>
                    <w:id w:val="2140927611"/>
                  </w:sdtPr>
                  <w:sdtContent>
                    <w:sdt>
                      <w:sdtPr>
                        <w:rPr>
                          <w:rFonts w:cs="Times New Roman"/>
                          <w:szCs w:val="20"/>
                        </w:rPr>
                        <w:tag w:val="goog_rdk_1321"/>
                        <w:id w:val="1341300661"/>
                      </w:sdtPr>
                      <w:sdtContent>
                        <w:r w:rsidR="004B772A">
                          <w:rPr>
                            <w:rFonts w:eastAsia="Calibri" w:cs="Times New Roman"/>
                            <w:szCs w:val="20"/>
                          </w:rPr>
                          <w:t>Planners</w:t>
                        </w:r>
                      </w:sdtContent>
                    </w:sdt>
                    <w:sdt>
                      <w:sdtPr>
                        <w:rPr>
                          <w:rFonts w:cs="Times New Roman"/>
                          <w:szCs w:val="20"/>
                        </w:rPr>
                        <w:tag w:val="goog_rdk_1322"/>
                        <w:id w:val="-933115589"/>
                        <w:showingPlcHdr/>
                      </w:sdtPr>
                      <w:sdtContent>
                        <w:r w:rsidR="004B772A">
                          <w:t>    </w:t>
                        </w:r>
                      </w:sdtContent>
                    </w:sdt>
                  </w:sdtContent>
                </w:sdt>
              </w:p>
            </w:sdtContent>
          </w:sdt>
        </w:tc>
        <w:tc>
          <w:tcPr>
            <w:tcW w:w="0" w:type="auto"/>
          </w:tcPr>
          <w:p w14:paraId="5F9A08F0"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3355CE7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China</w:t>
            </w:r>
          </w:p>
        </w:tc>
        <w:tc>
          <w:tcPr>
            <w:tcW w:w="0" w:type="auto"/>
          </w:tcPr>
          <w:p w14:paraId="7DDE2E39"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w:t>
            </w:r>
          </w:p>
        </w:tc>
      </w:tr>
      <w:tr w:rsidR="000055AD" w14:paraId="34CCE4E6"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36DEACD" w14:textId="77777777" w:rsidR="000055AD" w:rsidRDefault="004B772A">
            <w:pPr>
              <w:jc w:val="left"/>
              <w:rPr>
                <w:rFonts w:cs="Times New Roman"/>
                <w:szCs w:val="20"/>
                <w:lang w:val="de-DE"/>
              </w:rPr>
            </w:pPr>
            <w:r>
              <w:rPr>
                <w:rFonts w:cs="Times New Roman"/>
                <w:szCs w:val="20"/>
              </w:rPr>
              <w:fldChar w:fldCharType="begin"/>
            </w:r>
            <w:r>
              <w:rPr>
                <w:rFonts w:cs="Times New Roman"/>
                <w:szCs w:val="20"/>
              </w:rPr>
              <w:instrText xml:space="preserve"> ADDIN ZOTERO_ITEM CSL_CITATION {"citationID":"5M5nP16V","properties":{"formattedCitation":"(F. Zhang 2023)","plainCitation":"(F. Zhang 2023)","noteIndex":0},"citationItems":[{"id":63520,"uris":["http://zotero.org/groups/52011/items/SW9JJGI3"],"itemData":{"id":63520,"type":"article-journal","container-title":"Energy Policy","DOI":"10.1016/j.enpol.2022.113306","ISSN":"0301-4215","note":"publisher: Elsevier BV","page":"113306","title":"Does not having an NDB disadvantage a country in finance mobilization for the energy transition? A comparative analysis of the solar PV deployment in the United States, Germany and China","volume":"172","author":[{"family":"Zhang","given":"Fang"}],"issued":{"date-parts":[["2023",1]]}}}],"schema":"https://github.com/citation-style-language/schema/raw/master/csl-citation.json"} </w:instrText>
            </w:r>
            <w:r>
              <w:rPr>
                <w:rFonts w:cs="Times New Roman"/>
                <w:szCs w:val="20"/>
              </w:rPr>
              <w:fldChar w:fldCharType="separate"/>
            </w:r>
            <w:r>
              <w:rPr>
                <w:rFonts w:cs="Times New Roman"/>
                <w:szCs w:val="20"/>
              </w:rPr>
              <w:t>(F. Zhang 2023)</w:t>
            </w:r>
            <w:r>
              <w:rPr>
                <w:rFonts w:cs="Times New Roman"/>
                <w:szCs w:val="20"/>
              </w:rPr>
              <w:fldChar w:fldCharType="end"/>
            </w:r>
          </w:p>
        </w:tc>
        <w:tc>
          <w:tcPr>
            <w:tcW w:w="0" w:type="auto"/>
          </w:tcPr>
          <w:sdt>
            <w:sdtPr>
              <w:rPr>
                <w:rFonts w:cs="Times New Roman"/>
                <w:szCs w:val="20"/>
              </w:rPr>
              <w:tag w:val="goog_rdk_1343"/>
              <w:id w:val="491138928"/>
            </w:sdtPr>
            <w:sdtContent>
              <w:p w14:paraId="3AD5A9D1"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340"/>
                    <w:id w:val="1188200878"/>
                  </w:sdtPr>
                  <w:sdtContent>
                    <w:sdt>
                      <w:sdtPr>
                        <w:rPr>
                          <w:rFonts w:cs="Times New Roman"/>
                          <w:szCs w:val="20"/>
                        </w:rPr>
                        <w:tag w:val="goog_rdk_1341"/>
                        <w:id w:val="-1925073288"/>
                      </w:sdtPr>
                      <w:sdtContent>
                        <w:r w:rsidR="004B772A">
                          <w:rPr>
                            <w:rFonts w:eastAsia="Calibri" w:cs="Times New Roman"/>
                            <w:szCs w:val="20"/>
                          </w:rPr>
                          <w:t>55</w:t>
                        </w:r>
                      </w:sdtContent>
                    </w:sdt>
                    <w:sdt>
                      <w:sdtPr>
                        <w:rPr>
                          <w:rFonts w:cs="Times New Roman"/>
                          <w:szCs w:val="20"/>
                        </w:rPr>
                        <w:tag w:val="goog_rdk_1342"/>
                        <w:id w:val="1430622145"/>
                        <w:showingPlcHdr/>
                      </w:sdtPr>
                      <w:sdtContent>
                        <w:r w:rsidR="004B772A">
                          <w:t>    </w:t>
                        </w:r>
                      </w:sdtContent>
                    </w:sdt>
                  </w:sdtContent>
                </w:sdt>
              </w:p>
            </w:sdtContent>
          </w:sdt>
        </w:tc>
        <w:tc>
          <w:tcPr>
            <w:tcW w:w="0" w:type="auto"/>
          </w:tcPr>
          <w:sdt>
            <w:sdtPr>
              <w:rPr>
                <w:rFonts w:cs="Times New Roman"/>
                <w:szCs w:val="20"/>
              </w:rPr>
              <w:tag w:val="goog_rdk_1346"/>
              <w:id w:val="762267973"/>
            </w:sdtPr>
            <w:sdtContent>
              <w:p w14:paraId="31E08D9E" w14:textId="77777777" w:rsidR="000055AD" w:rsidRDefault="00000000">
                <w:pPr>
                  <w:cnfStyle w:val="000000100000" w:firstRow="0" w:lastRow="0" w:firstColumn="0" w:lastColumn="0" w:oddVBand="0" w:evenVBand="0" w:oddHBand="1" w:evenHBand="0" w:firstRowFirstColumn="0" w:firstRowLastColumn="0" w:lastRowFirstColumn="0" w:lastRowLastColumn="0"/>
                  <w:rPr>
                    <w:rFonts w:eastAsia="Calibri" w:cs="Times New Roman"/>
                    <w:szCs w:val="20"/>
                  </w:rPr>
                </w:pPr>
                <w:sdt>
                  <w:sdtPr>
                    <w:rPr>
                      <w:rFonts w:cs="Times New Roman"/>
                      <w:szCs w:val="20"/>
                    </w:rPr>
                    <w:tag w:val="goog_rdk_1344"/>
                    <w:id w:val="74616633"/>
                  </w:sdtPr>
                  <w:sdtContent>
                    <w:sdt>
                      <w:sdtPr>
                        <w:rPr>
                          <w:rFonts w:cs="Times New Roman"/>
                          <w:szCs w:val="20"/>
                        </w:rPr>
                        <w:tag w:val="goog_rdk_1345"/>
                        <w:id w:val="-2067950291"/>
                      </w:sdtPr>
                      <w:sdtContent>
                        <w:r w:rsidR="004B772A">
                          <w:rPr>
                            <w:rFonts w:eastAsia="Calibri" w:cs="Times New Roman"/>
                            <w:szCs w:val="20"/>
                          </w:rPr>
                          <w:t>Instrumentalists,</w:t>
                        </w:r>
                      </w:sdtContent>
                    </w:sdt>
                  </w:sdtContent>
                </w:sdt>
              </w:p>
            </w:sdtContent>
          </w:sdt>
          <w:sdt>
            <w:sdtPr>
              <w:rPr>
                <w:rFonts w:cs="Times New Roman"/>
                <w:szCs w:val="20"/>
              </w:rPr>
              <w:tag w:val="goog_rdk_1349"/>
              <w:id w:val="690502976"/>
            </w:sdtPr>
            <w:sdtContent>
              <w:p w14:paraId="0EA5C64F" w14:textId="77777777" w:rsidR="000055AD" w:rsidRDefault="00000000">
                <w:pPr>
                  <w:cnfStyle w:val="000000100000" w:firstRow="0" w:lastRow="0" w:firstColumn="0" w:lastColumn="0" w:oddVBand="0" w:evenVBand="0" w:oddHBand="1" w:evenHBand="0" w:firstRowFirstColumn="0" w:firstRowLastColumn="0" w:lastRowFirstColumn="0" w:lastRowLastColumn="0"/>
                  <w:rPr>
                    <w:rFonts w:eastAsia="Calibri" w:cs="Times New Roman"/>
                    <w:szCs w:val="20"/>
                  </w:rPr>
                </w:pPr>
                <w:sdt>
                  <w:sdtPr>
                    <w:rPr>
                      <w:rFonts w:cs="Times New Roman"/>
                      <w:szCs w:val="20"/>
                    </w:rPr>
                    <w:tag w:val="goog_rdk_1347"/>
                    <w:id w:val="-1879278677"/>
                  </w:sdtPr>
                  <w:sdtContent>
                    <w:sdt>
                      <w:sdtPr>
                        <w:rPr>
                          <w:rFonts w:cs="Times New Roman"/>
                          <w:szCs w:val="20"/>
                        </w:rPr>
                        <w:tag w:val="goog_rdk_1348"/>
                        <w:id w:val="-1461451662"/>
                      </w:sdtPr>
                      <w:sdtContent>
                        <w:r w:rsidR="004B772A">
                          <w:rPr>
                            <w:rFonts w:eastAsia="Calibri" w:cs="Times New Roman"/>
                            <w:szCs w:val="20"/>
                          </w:rPr>
                          <w:t>Planners,</w:t>
                        </w:r>
                      </w:sdtContent>
                    </w:sdt>
                  </w:sdtContent>
                </w:sdt>
              </w:p>
            </w:sdtContent>
          </w:sdt>
          <w:sdt>
            <w:sdtPr>
              <w:rPr>
                <w:rFonts w:cs="Times New Roman"/>
                <w:szCs w:val="20"/>
              </w:rPr>
              <w:tag w:val="goog_rdk_1353"/>
              <w:id w:val="1827806785"/>
            </w:sdtPr>
            <w:sdtContent>
              <w:p w14:paraId="08B58B5C"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350"/>
                    <w:id w:val="1702032609"/>
                  </w:sdtPr>
                  <w:sdtContent>
                    <w:sdt>
                      <w:sdtPr>
                        <w:rPr>
                          <w:rFonts w:cs="Times New Roman"/>
                          <w:szCs w:val="20"/>
                        </w:rPr>
                        <w:tag w:val="goog_rdk_1351"/>
                        <w:id w:val="-964856938"/>
                      </w:sdtPr>
                      <w:sdtContent>
                        <w:r w:rsidR="004B772A">
                          <w:rPr>
                            <w:rFonts w:eastAsia="Calibri" w:cs="Times New Roman"/>
                            <w:szCs w:val="20"/>
                          </w:rPr>
                          <w:t>Instrumentalists</w:t>
                        </w:r>
                      </w:sdtContent>
                    </w:sdt>
                    <w:sdt>
                      <w:sdtPr>
                        <w:rPr>
                          <w:rFonts w:cs="Times New Roman"/>
                          <w:szCs w:val="20"/>
                        </w:rPr>
                        <w:tag w:val="goog_rdk_1352"/>
                        <w:id w:val="862934716"/>
                        <w:showingPlcHdr/>
                      </w:sdtPr>
                      <w:sdtContent>
                        <w:r w:rsidR="004B772A">
                          <w:t>    </w:t>
                        </w:r>
                      </w:sdtContent>
                    </w:sdt>
                  </w:sdtContent>
                </w:sdt>
              </w:p>
            </w:sdtContent>
          </w:sdt>
        </w:tc>
        <w:tc>
          <w:tcPr>
            <w:tcW w:w="0" w:type="auto"/>
          </w:tcPr>
          <w:p w14:paraId="37B006EA"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case study</w:t>
            </w:r>
          </w:p>
        </w:tc>
        <w:tc>
          <w:tcPr>
            <w:tcW w:w="0" w:type="auto"/>
          </w:tcPr>
          <w:p w14:paraId="77060536"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China, Germany, US</w:t>
            </w:r>
          </w:p>
        </w:tc>
        <w:tc>
          <w:tcPr>
            <w:tcW w:w="0" w:type="auto"/>
          </w:tcPr>
          <w:p w14:paraId="3D02F063"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solar</w:t>
            </w:r>
          </w:p>
        </w:tc>
      </w:tr>
      <w:tr w:rsidR="000055AD" w14:paraId="3C50AF6F"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33762AB7"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{"citationID":"cbw6gqCJ","properties":{"formattedCitation":"(F. Zhang 2020)","plainCitation":"(F. Zhang 2020)","noteIndex":0},"citationItems":[{"id":33668,"uris":["http://zotero.org/groups/52011/items/J27KXGIF"],"itemData":{"id":33668,"type":"article-journal","abstract":"Access to finance is a well-recognized barrier to scaling up renewable energy. Using the case studies of Germany and China, this research explores how governments spur renewable energy deployment by examining the availability, costs, and modes of financing. It compares the major financiers, their interactions, and government policy instruments, around renewable financing in both countries. The research concludes that finance mobilization should begin with actors who are willing to be patient and who are responsive to policies. Finance is easier to mobilize when pre-existing and strong relationships between lenders and borrowers are leveraged. It concludes that a well-designed fiscal subsidy policy together with a national development bank aiming to level the playing field is the key to open the door for the participation of decentralized actors in Germany, whereas a flawed fiscal subsidy policy and the pick-winner strategy of a national development bank advances big players in China.","container-title":"Environmental Innovation and Societal Transitions","DOI":"10.1016/j.eist.2020.08.005","ISSN":"22104224","journalAbbreviation":"Environmental Innovation and Societal Transitions","language":"en","page":"203-224","source":"DOI.org (Crossref)","title":"Leaders and followers in finance mobilization for renewable energy in Germany and China","volume":"37","author":[{"family":"Zhang","given":"Fang"}],"issued":{"date-parts":[["2020",12]]}}}],"schema":"https://github.com/citation-style-language/schema/raw/master/csl-citation.json"} </w:instrText>
            </w:r>
            <w:r>
              <w:rPr>
                <w:rFonts w:cs="Times New Roman"/>
                <w:szCs w:val="20"/>
              </w:rPr>
              <w:fldChar w:fldCharType="separate"/>
            </w:r>
            <w:r>
              <w:rPr>
                <w:rFonts w:cs="Times New Roman"/>
                <w:szCs w:val="20"/>
              </w:rPr>
              <w:t>(F. Zhang 2020)</w:t>
            </w:r>
            <w:r>
              <w:rPr>
                <w:rFonts w:cs="Times New Roman"/>
                <w:szCs w:val="20"/>
              </w:rPr>
              <w:fldChar w:fldCharType="end"/>
            </w:r>
          </w:p>
        </w:tc>
        <w:tc>
          <w:tcPr>
            <w:tcW w:w="0" w:type="auto"/>
          </w:tcPr>
          <w:sdt>
            <w:sdtPr>
              <w:rPr>
                <w:rFonts w:cs="Times New Roman"/>
                <w:szCs w:val="20"/>
              </w:rPr>
              <w:tag w:val="goog_rdk_1373"/>
              <w:id w:val="1334297641"/>
            </w:sdtPr>
            <w:sdtContent>
              <w:p w14:paraId="57517C2E"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370"/>
                    <w:id w:val="1132547587"/>
                  </w:sdtPr>
                  <w:sdtContent>
                    <w:sdt>
                      <w:sdtPr>
                        <w:rPr>
                          <w:rFonts w:cs="Times New Roman"/>
                          <w:szCs w:val="20"/>
                        </w:rPr>
                        <w:tag w:val="goog_rdk_1371"/>
                        <w:id w:val="-1926194726"/>
                      </w:sdtPr>
                      <w:sdtContent>
                        <w:r w:rsidR="004B772A">
                          <w:rPr>
                            <w:rFonts w:eastAsia="Calibri" w:cs="Times New Roman"/>
                            <w:szCs w:val="20"/>
                          </w:rPr>
                          <w:t>56</w:t>
                        </w:r>
                      </w:sdtContent>
                    </w:sdt>
                    <w:sdt>
                      <w:sdtPr>
                        <w:rPr>
                          <w:rFonts w:cs="Times New Roman"/>
                          <w:szCs w:val="20"/>
                        </w:rPr>
                        <w:tag w:val="goog_rdk_1372"/>
                        <w:id w:val="1314525532"/>
                        <w:showingPlcHdr/>
                      </w:sdtPr>
                      <w:sdtContent>
                        <w:r w:rsidR="004B772A">
                          <w:t>    </w:t>
                        </w:r>
                      </w:sdtContent>
                    </w:sdt>
                  </w:sdtContent>
                </w:sdt>
              </w:p>
            </w:sdtContent>
          </w:sdt>
        </w:tc>
        <w:tc>
          <w:tcPr>
            <w:tcW w:w="0" w:type="auto"/>
          </w:tcPr>
          <w:sdt>
            <w:sdtPr>
              <w:rPr>
                <w:rFonts w:cs="Times New Roman"/>
                <w:szCs w:val="20"/>
              </w:rPr>
              <w:tag w:val="goog_rdk_1376"/>
              <w:id w:val="247832214"/>
            </w:sdtPr>
            <w:sdtContent>
              <w:p w14:paraId="6C15D869" w14:textId="77777777" w:rsidR="000055AD" w:rsidRDefault="00000000">
                <w:pPr>
                  <w:cnfStyle w:val="000000000000" w:firstRow="0" w:lastRow="0" w:firstColumn="0" w:lastColumn="0" w:oddVBand="0" w:evenVBand="0" w:oddHBand="0" w:evenHBand="0" w:firstRowFirstColumn="0" w:firstRowLastColumn="0" w:lastRowFirstColumn="0" w:lastRowLastColumn="0"/>
                  <w:rPr>
                    <w:rFonts w:eastAsia="Calibri" w:cs="Times New Roman"/>
                    <w:szCs w:val="20"/>
                  </w:rPr>
                </w:pPr>
                <w:sdt>
                  <w:sdtPr>
                    <w:rPr>
                      <w:rFonts w:cs="Times New Roman"/>
                      <w:szCs w:val="20"/>
                    </w:rPr>
                    <w:tag w:val="goog_rdk_1374"/>
                    <w:id w:val="-355415812"/>
                  </w:sdtPr>
                  <w:sdtContent>
                    <w:sdt>
                      <w:sdtPr>
                        <w:rPr>
                          <w:rFonts w:cs="Times New Roman"/>
                          <w:szCs w:val="20"/>
                        </w:rPr>
                        <w:tag w:val="goog_rdk_1375"/>
                        <w:id w:val="-750323422"/>
                      </w:sdtPr>
                      <w:sdtContent>
                        <w:r w:rsidR="004B772A">
                          <w:rPr>
                            <w:rFonts w:eastAsia="Calibri" w:cs="Times New Roman"/>
                            <w:szCs w:val="20"/>
                          </w:rPr>
                          <w:t>Planners,</w:t>
                        </w:r>
                      </w:sdtContent>
                    </w:sdt>
                  </w:sdtContent>
                </w:sdt>
              </w:p>
            </w:sdtContent>
          </w:sdt>
          <w:sdt>
            <w:sdtPr>
              <w:rPr>
                <w:rFonts w:cs="Times New Roman"/>
                <w:szCs w:val="20"/>
              </w:rPr>
              <w:tag w:val="goog_rdk_1380"/>
              <w:id w:val="1276789995"/>
            </w:sdtPr>
            <w:sdtContent>
              <w:p w14:paraId="1D1C1CF9"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377"/>
                    <w:id w:val="-440780275"/>
                  </w:sdtPr>
                  <w:sdtContent>
                    <w:sdt>
                      <w:sdtPr>
                        <w:rPr>
                          <w:rFonts w:cs="Times New Roman"/>
                          <w:szCs w:val="20"/>
                        </w:rPr>
                        <w:tag w:val="goog_rdk_1378"/>
                        <w:id w:val="549792211"/>
                      </w:sdtPr>
                      <w:sdtContent>
                        <w:r w:rsidR="004B772A">
                          <w:rPr>
                            <w:rFonts w:eastAsia="Calibri" w:cs="Times New Roman"/>
                            <w:szCs w:val="20"/>
                          </w:rPr>
                          <w:t>Strategists</w:t>
                        </w:r>
                      </w:sdtContent>
                    </w:sdt>
                    <w:sdt>
                      <w:sdtPr>
                        <w:rPr>
                          <w:rFonts w:cs="Times New Roman"/>
                          <w:szCs w:val="20"/>
                        </w:rPr>
                        <w:tag w:val="goog_rdk_1379"/>
                        <w:id w:val="-1111523610"/>
                        <w:showingPlcHdr/>
                      </w:sdtPr>
                      <w:sdtContent>
                        <w:r w:rsidR="004B772A">
                          <w:t>    </w:t>
                        </w:r>
                      </w:sdtContent>
                    </w:sdt>
                  </w:sdtContent>
                </w:sdt>
              </w:p>
            </w:sdtContent>
          </w:sdt>
        </w:tc>
        <w:tc>
          <w:tcPr>
            <w:tcW w:w="0" w:type="auto"/>
          </w:tcPr>
          <w:p w14:paraId="5A90346D"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69382DBC"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China, Germany</w:t>
            </w:r>
          </w:p>
        </w:tc>
        <w:tc>
          <w:tcPr>
            <w:tcW w:w="0" w:type="auto"/>
          </w:tcPr>
          <w:p w14:paraId="2B3F73F8"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solar, wind</w:t>
            </w:r>
          </w:p>
        </w:tc>
      </w:tr>
      <w:tr w:rsidR="000055AD" w14:paraId="6B795BF8" w14:textId="77777777" w:rsidTr="000055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E6713F5"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{"citationID":"26Ejs4en","properties":{"formattedCitation":"(Zhao et al. 2016)","plainCitation":"(Zhao et al. 2016)","noteIndex":0},"citationItems":[{"id":63518,"uris":["http://zotero.org/groups/52011/items/DPT2S2YR"],"itemData":{"id":63518,"type":"article-journal","container-title":"Energy Policy","DOI":"10.1016/j.enpol.2016.04.050","ISSN":"0301-4215","note":"publisher: Elsevier BV","page":"269–279","title":"The effectiveness of China’s wind power policy: An empirical analysis","volume":"95","author":[{"family":"Zhao","given":"Xiaoli"},{"family":"Li","given":"Shujie"},{"family":"Zhang","given":"Sufang"},{"family":"Yang","given":"Rui"},{"family":"Liu","given":"Suwei"}],"issued":{"date-parts":[["2016",8]]}}}],"schema":"https://github.com/citation-style-language/schema/raw/master/csl-citation.json"} </w:instrText>
            </w:r>
            <w:r>
              <w:rPr>
                <w:rFonts w:cs="Times New Roman"/>
                <w:szCs w:val="20"/>
              </w:rPr>
              <w:fldChar w:fldCharType="separate"/>
            </w:r>
            <w:r>
              <w:rPr>
                <w:rFonts w:cs="Times New Roman"/>
                <w:szCs w:val="20"/>
              </w:rPr>
              <w:t>(Zhao et al. 2016)</w:t>
            </w:r>
            <w:r>
              <w:rPr>
                <w:rFonts w:cs="Times New Roman"/>
                <w:szCs w:val="20"/>
              </w:rPr>
              <w:fldChar w:fldCharType="end"/>
            </w:r>
          </w:p>
        </w:tc>
        <w:tc>
          <w:tcPr>
            <w:tcW w:w="0" w:type="auto"/>
          </w:tcPr>
          <w:sdt>
            <w:sdtPr>
              <w:rPr>
                <w:rFonts w:cs="Times New Roman"/>
                <w:szCs w:val="20"/>
              </w:rPr>
              <w:tag w:val="goog_rdk_1400"/>
              <w:id w:val="-1146753807"/>
            </w:sdtPr>
            <w:sdtContent>
              <w:p w14:paraId="537587A7"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397"/>
                    <w:id w:val="1000415261"/>
                  </w:sdtPr>
                  <w:sdtContent>
                    <w:sdt>
                      <w:sdtPr>
                        <w:rPr>
                          <w:rFonts w:cs="Times New Roman"/>
                          <w:szCs w:val="20"/>
                        </w:rPr>
                        <w:tag w:val="goog_rdk_1398"/>
                        <w:id w:val="2103592468"/>
                      </w:sdtPr>
                      <w:sdtContent>
                        <w:r w:rsidR="004B772A">
                          <w:rPr>
                            <w:rFonts w:eastAsia="Calibri" w:cs="Times New Roman"/>
                            <w:szCs w:val="20"/>
                          </w:rPr>
                          <w:t>57</w:t>
                        </w:r>
                      </w:sdtContent>
                    </w:sdt>
                    <w:sdt>
                      <w:sdtPr>
                        <w:rPr>
                          <w:rFonts w:cs="Times New Roman"/>
                          <w:szCs w:val="20"/>
                        </w:rPr>
                        <w:tag w:val="goog_rdk_1399"/>
                        <w:id w:val="-803194173"/>
                        <w:showingPlcHdr/>
                      </w:sdtPr>
                      <w:sdtContent>
                        <w:r w:rsidR="004B772A">
                          <w:t>    </w:t>
                        </w:r>
                      </w:sdtContent>
                    </w:sdt>
                  </w:sdtContent>
                </w:sdt>
              </w:p>
            </w:sdtContent>
          </w:sdt>
        </w:tc>
        <w:tc>
          <w:tcPr>
            <w:tcW w:w="0" w:type="auto"/>
          </w:tcPr>
          <w:sdt>
            <w:sdtPr>
              <w:rPr>
                <w:rFonts w:cs="Times New Roman"/>
                <w:szCs w:val="20"/>
              </w:rPr>
              <w:tag w:val="goog_rdk_1404"/>
              <w:id w:val="981393664"/>
            </w:sdtPr>
            <w:sdtContent>
              <w:p w14:paraId="5EE1F000" w14:textId="77777777" w:rsidR="000055AD" w:rsidRDefault="00000000">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sdt>
                  <w:sdtPr>
                    <w:rPr>
                      <w:rFonts w:cs="Times New Roman"/>
                      <w:szCs w:val="20"/>
                    </w:rPr>
                    <w:tag w:val="goog_rdk_1401"/>
                    <w:id w:val="1362772942"/>
                  </w:sdtPr>
                  <w:sdtContent>
                    <w:sdt>
                      <w:sdtPr>
                        <w:rPr>
                          <w:rFonts w:cs="Times New Roman"/>
                          <w:szCs w:val="20"/>
                        </w:rPr>
                        <w:tag w:val="goog_rdk_1402"/>
                        <w:id w:val="-212158828"/>
                      </w:sdtPr>
                      <w:sdtContent>
                        <w:r w:rsidR="004B772A">
                          <w:rPr>
                            <w:rFonts w:eastAsia="Calibri" w:cs="Times New Roman"/>
                            <w:szCs w:val="20"/>
                          </w:rPr>
                          <w:t>Planners</w:t>
                        </w:r>
                      </w:sdtContent>
                    </w:sdt>
                    <w:sdt>
                      <w:sdtPr>
                        <w:rPr>
                          <w:rFonts w:cs="Times New Roman"/>
                          <w:szCs w:val="20"/>
                        </w:rPr>
                        <w:tag w:val="goog_rdk_1403"/>
                        <w:id w:val="2088801931"/>
                        <w:showingPlcHdr/>
                      </w:sdtPr>
                      <w:sdtContent>
                        <w:r w:rsidR="004B772A">
                          <w:t>    </w:t>
                        </w:r>
                      </w:sdtContent>
                    </w:sdt>
                  </w:sdtContent>
                </w:sdt>
              </w:p>
            </w:sdtContent>
          </w:sdt>
        </w:tc>
        <w:tc>
          <w:tcPr>
            <w:tcW w:w="0" w:type="auto"/>
          </w:tcPr>
          <w:p w14:paraId="1CC12424"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 xml:space="preserve">regression analysis </w:t>
            </w:r>
          </w:p>
        </w:tc>
        <w:tc>
          <w:tcPr>
            <w:tcW w:w="0" w:type="auto"/>
          </w:tcPr>
          <w:p w14:paraId="38944162"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China</w:t>
            </w:r>
          </w:p>
        </w:tc>
        <w:tc>
          <w:tcPr>
            <w:tcW w:w="0" w:type="auto"/>
          </w:tcPr>
          <w:p w14:paraId="2A9D314F" w14:textId="77777777" w:rsidR="000055AD" w:rsidRDefault="004B772A">
            <w:pPr>
              <w:jc w:val="left"/>
              <w:cnfStyle w:val="000000100000" w:firstRow="0" w:lastRow="0" w:firstColumn="0" w:lastColumn="0" w:oddVBand="0" w:evenVBand="0" w:oddHBand="1" w:evenHBand="0" w:firstRowFirstColumn="0" w:firstRowLastColumn="0" w:lastRowFirstColumn="0" w:lastRowLastColumn="0"/>
              <w:rPr>
                <w:rFonts w:cs="Times New Roman"/>
                <w:szCs w:val="20"/>
              </w:rPr>
            </w:pPr>
            <w:r>
              <w:rPr>
                <w:rFonts w:cs="Times New Roman"/>
                <w:szCs w:val="20"/>
              </w:rPr>
              <w:t>wind</w:t>
            </w:r>
          </w:p>
        </w:tc>
      </w:tr>
      <w:tr w:rsidR="000055AD" w14:paraId="3D02F7FD" w14:textId="77777777" w:rsidTr="000055AD">
        <w:tc>
          <w:tcPr>
            <w:cnfStyle w:val="001000000000" w:firstRow="0" w:lastRow="0" w:firstColumn="1" w:lastColumn="0" w:oddVBand="0" w:evenVBand="0" w:oddHBand="0" w:evenHBand="0" w:firstRowFirstColumn="0" w:firstRowLastColumn="0" w:lastRowFirstColumn="0" w:lastRowLastColumn="0"/>
            <w:tcW w:w="0" w:type="auto"/>
          </w:tcPr>
          <w:p w14:paraId="29CA22BF" w14:textId="77777777" w:rsidR="000055AD" w:rsidRDefault="004B772A">
            <w:pPr>
              <w:jc w:val="left"/>
              <w:rPr>
                <w:rFonts w:cs="Times New Roman"/>
                <w:szCs w:val="20"/>
              </w:rPr>
            </w:pPr>
            <w:r>
              <w:rPr>
                <w:rFonts w:cs="Times New Roman"/>
                <w:szCs w:val="20"/>
              </w:rPr>
              <w:fldChar w:fldCharType="begin"/>
            </w:r>
            <w:r>
              <w:rPr>
                <w:rFonts w:cs="Times New Roman"/>
                <w:szCs w:val="20"/>
              </w:rPr>
              <w:instrText xml:space="preserve"> ADDIN ZOTERO_ITEM CSL_CITATION {"citationID":"ckygRCFR","properties":{"formattedCitation":"(Zhou and Solomon 2020)","plainCitation":"(Zhou and Solomon 2020)","noteIndex":0},"citationItems":[{"id":63517,"uris":["http://zotero.org/groups/52011/items/TBWQMMGY"],"itemData":{"id":63517,"type":"article-journal","container-title":"Energy Policy","DOI":"10.1016/j.enpol.2020.111377","ISSN":"0301-4215","note":"publisher: Elsevier BV","page":"111377","title":"Do renewable portfolio standards in the United States stunt renewable electricity development beyond mandatory targets?","volume":"140","author":[{"family":"Zhou","given":"Shan"},{"family":"Solomon","given":"Barry D."}],"issued":{"date-parts":[["2020",5]]}}}],"schema":"https://github.com/citation-style-language/schema/raw/master/csl-citation.json"} </w:instrText>
            </w:r>
            <w:r>
              <w:rPr>
                <w:rFonts w:cs="Times New Roman"/>
                <w:szCs w:val="20"/>
              </w:rPr>
              <w:fldChar w:fldCharType="separate"/>
            </w:r>
            <w:r>
              <w:rPr>
                <w:rFonts w:cs="Times New Roman"/>
                <w:szCs w:val="20"/>
              </w:rPr>
              <w:t>(Zhou and Solomon 2020)</w:t>
            </w:r>
            <w:r>
              <w:rPr>
                <w:rFonts w:cs="Times New Roman"/>
                <w:szCs w:val="20"/>
              </w:rPr>
              <w:fldChar w:fldCharType="end"/>
            </w:r>
          </w:p>
        </w:tc>
        <w:tc>
          <w:tcPr>
            <w:tcW w:w="0" w:type="auto"/>
          </w:tcPr>
          <w:sdt>
            <w:sdtPr>
              <w:rPr>
                <w:rFonts w:cs="Times New Roman"/>
                <w:szCs w:val="20"/>
              </w:rPr>
              <w:tag w:val="goog_rdk_1424"/>
              <w:id w:val="378955692"/>
            </w:sdtPr>
            <w:sdtContent>
              <w:p w14:paraId="4AA3B15C"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421"/>
                    <w:id w:val="-1120617586"/>
                  </w:sdtPr>
                  <w:sdtContent>
                    <w:sdt>
                      <w:sdtPr>
                        <w:rPr>
                          <w:rFonts w:cs="Times New Roman"/>
                          <w:szCs w:val="20"/>
                        </w:rPr>
                        <w:tag w:val="goog_rdk_1422"/>
                        <w:id w:val="-1034277164"/>
                      </w:sdtPr>
                      <w:sdtContent>
                        <w:r w:rsidR="004B772A">
                          <w:rPr>
                            <w:rFonts w:eastAsia="Calibri" w:cs="Times New Roman"/>
                            <w:szCs w:val="20"/>
                          </w:rPr>
                          <w:t>58</w:t>
                        </w:r>
                      </w:sdtContent>
                    </w:sdt>
                    <w:sdt>
                      <w:sdtPr>
                        <w:rPr>
                          <w:rFonts w:cs="Times New Roman"/>
                          <w:szCs w:val="20"/>
                        </w:rPr>
                        <w:tag w:val="goog_rdk_1423"/>
                        <w:id w:val="1685590038"/>
                        <w:showingPlcHdr/>
                      </w:sdtPr>
                      <w:sdtContent>
                        <w:r w:rsidR="004B772A">
                          <w:t>    </w:t>
                        </w:r>
                      </w:sdtContent>
                    </w:sdt>
                  </w:sdtContent>
                </w:sdt>
              </w:p>
            </w:sdtContent>
          </w:sdt>
        </w:tc>
        <w:tc>
          <w:tcPr>
            <w:tcW w:w="0" w:type="auto"/>
          </w:tcPr>
          <w:sdt>
            <w:sdtPr>
              <w:rPr>
                <w:rFonts w:cs="Times New Roman"/>
                <w:szCs w:val="20"/>
              </w:rPr>
              <w:tag w:val="goog_rdk_1428"/>
              <w:id w:val="181368294"/>
            </w:sdtPr>
            <w:sdtContent>
              <w:p w14:paraId="04D7E434" w14:textId="77777777" w:rsidR="000055AD" w:rsidRDefault="00000000">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sdt>
                  <w:sdtPr>
                    <w:rPr>
                      <w:rFonts w:cs="Times New Roman"/>
                      <w:szCs w:val="20"/>
                    </w:rPr>
                    <w:tag w:val="goog_rdk_1425"/>
                    <w:id w:val="428198610"/>
                  </w:sdtPr>
                  <w:sdtContent>
                    <w:sdt>
                      <w:sdtPr>
                        <w:rPr>
                          <w:rFonts w:cs="Times New Roman"/>
                          <w:szCs w:val="20"/>
                        </w:rPr>
                        <w:tag w:val="goog_rdk_1426"/>
                        <w:id w:val="-1294633390"/>
                      </w:sdtPr>
                      <w:sdtContent>
                        <w:r w:rsidR="004B772A">
                          <w:rPr>
                            <w:rFonts w:eastAsia="Calibri" w:cs="Times New Roman"/>
                            <w:szCs w:val="20"/>
                          </w:rPr>
                          <w:t>Instrumentalists</w:t>
                        </w:r>
                      </w:sdtContent>
                    </w:sdt>
                    <w:sdt>
                      <w:sdtPr>
                        <w:rPr>
                          <w:rFonts w:cs="Times New Roman"/>
                          <w:szCs w:val="20"/>
                        </w:rPr>
                        <w:tag w:val="goog_rdk_1427"/>
                        <w:id w:val="883503229"/>
                        <w:showingPlcHdr/>
                      </w:sdtPr>
                      <w:sdtContent>
                        <w:r w:rsidR="004B772A">
                          <w:t>    </w:t>
                        </w:r>
                      </w:sdtContent>
                    </w:sdt>
                  </w:sdtContent>
                </w:sdt>
              </w:p>
            </w:sdtContent>
          </w:sdt>
        </w:tc>
        <w:tc>
          <w:tcPr>
            <w:tcW w:w="0" w:type="auto"/>
          </w:tcPr>
          <w:p w14:paraId="695A40D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case study</w:t>
            </w:r>
          </w:p>
        </w:tc>
        <w:tc>
          <w:tcPr>
            <w:tcW w:w="0" w:type="auto"/>
          </w:tcPr>
          <w:p w14:paraId="46761015"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US</w:t>
            </w:r>
          </w:p>
        </w:tc>
        <w:tc>
          <w:tcPr>
            <w:tcW w:w="0" w:type="auto"/>
          </w:tcPr>
          <w:p w14:paraId="3A53D444" w14:textId="77777777" w:rsidR="000055AD" w:rsidRDefault="004B772A">
            <w:pPr>
              <w:jc w:val="left"/>
              <w:cnfStyle w:val="000000000000" w:firstRow="0" w:lastRow="0" w:firstColumn="0" w:lastColumn="0" w:oddVBand="0" w:evenVBand="0" w:oddHBand="0" w:evenHBand="0" w:firstRowFirstColumn="0" w:firstRowLastColumn="0" w:lastRowFirstColumn="0" w:lastRowLastColumn="0"/>
              <w:rPr>
                <w:rFonts w:cs="Times New Roman"/>
                <w:szCs w:val="20"/>
              </w:rPr>
            </w:pPr>
            <w:r>
              <w:rPr>
                <w:rFonts w:cs="Times New Roman"/>
                <w:szCs w:val="20"/>
              </w:rPr>
              <w:t>renewables</w:t>
            </w:r>
          </w:p>
        </w:tc>
      </w:tr>
    </w:tbl>
    <w:p w14:paraId="35F08319" w14:textId="77777777" w:rsidR="000055AD" w:rsidRDefault="000055AD">
      <w:pPr>
        <w:rPr>
          <w:rFonts w:cs="Times New Roman"/>
        </w:rPr>
      </w:pPr>
    </w:p>
    <w:p w14:paraId="66E215EB" w14:textId="77777777" w:rsidR="000055AD" w:rsidRDefault="004B772A">
      <w:pPr>
        <w:spacing w:after="160" w:line="259" w:lineRule="auto"/>
        <w:jc w:val="left"/>
        <w:rPr>
          <w:rFonts w:cs="Times New Roman"/>
        </w:rPr>
      </w:pPr>
      <w:r>
        <w:rPr>
          <w:rFonts w:cs="Times New Roman"/>
        </w:rPr>
        <w:br w:type="page" w:clear="all"/>
      </w:r>
    </w:p>
    <w:p w14:paraId="0A6FCF49" w14:textId="77777777" w:rsidR="000055AD" w:rsidRDefault="004B772A">
      <w:pPr>
        <w:pStyle w:val="Heading1"/>
        <w:rPr>
          <w:rFonts w:ascii="Times New Roman" w:hAnsi="Times New Roman" w:cs="Times New Roman"/>
        </w:rPr>
      </w:pPr>
      <w:bookmarkStart w:id="9" w:name="_Toc226028145"/>
      <w:r>
        <w:rPr>
          <w:rFonts w:ascii="Times New Roman" w:hAnsi="Times New Roman" w:cs="Times New Roman"/>
        </w:rPr>
        <w:lastRenderedPageBreak/>
        <w:t>Online Appendix C: Selection process and descriptive statistics</w:t>
      </w:r>
      <w:bookmarkEnd w:id="9"/>
    </w:p>
    <w:p w14:paraId="7E6FE11B" w14:textId="77777777" w:rsidR="000055AD" w:rsidRDefault="000055AD">
      <w:pPr>
        <w:spacing w:after="160" w:line="259" w:lineRule="auto"/>
        <w:jc w:val="left"/>
        <w:rPr>
          <w:rFonts w:cs="Times New Roman"/>
        </w:rPr>
      </w:pPr>
    </w:p>
    <w:p w14:paraId="251BD4DA" w14:textId="77777777" w:rsidR="000055AD" w:rsidRDefault="004B772A">
      <w:pPr>
        <w:pStyle w:val="Heading2"/>
        <w:rPr>
          <w:rFonts w:ascii="Times New Roman" w:hAnsi="Times New Roman" w:cs="Times New Roman"/>
        </w:rPr>
      </w:pPr>
      <w:bookmarkStart w:id="10" w:name="_Toc226028146"/>
      <w:r>
        <w:rPr>
          <w:rFonts w:ascii="Times New Roman" w:hAnsi="Times New Roman" w:cs="Times New Roman"/>
        </w:rPr>
        <w:t xml:space="preserve">Figure OC </w:t>
      </w:r>
      <w:r>
        <w:rPr>
          <w:rFonts w:ascii="Times New Roman" w:hAnsi="Times New Roman" w:cs="Times New Roman"/>
        </w:rPr>
        <w:fldChar w:fldCharType="begin"/>
      </w:r>
      <w:r>
        <w:rPr>
          <w:rFonts w:ascii="Times New Roman" w:hAnsi="Times New Roman" w:cs="Times New Roman"/>
        </w:rPr>
        <w:instrText xml:space="preserve"> SEQ Figure_OC \* ARABIC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r>
        <w:rPr>
          <w:rFonts w:ascii="Times New Roman" w:hAnsi="Times New Roman" w:cs="Times New Roman"/>
        </w:rPr>
        <w:t xml:space="preserve"> Sample selection process</w:t>
      </w:r>
      <w:bookmarkEnd w:id="10"/>
    </w:p>
    <w:p w14:paraId="37C17567" w14:textId="77777777" w:rsidR="000055AD" w:rsidRDefault="000055AD">
      <w:pPr>
        <w:rPr>
          <w:rFonts w:cs="Times New Roman"/>
        </w:rPr>
      </w:pPr>
    </w:p>
    <w:p w14:paraId="13C1D1D4" w14:textId="77777777" w:rsidR="000055AD" w:rsidRDefault="004B772A">
      <w:pPr>
        <w:ind w:firstLine="340"/>
        <w:jc w:val="left"/>
        <w:rPr>
          <w:rFonts w:cs="Times New Roman"/>
        </w:rPr>
      </w:pPr>
      <w:r>
        <w:rPr>
          <w:noProof/>
        </w:rPr>
        <mc:AlternateContent>
          <mc:Choice Requires="wpg">
            <w:drawing>
              <wp:inline distT="0" distB="0" distL="0" distR="0" wp14:anchorId="3F5D5DAF" wp14:editId="7BDFD7D7">
                <wp:extent cx="5410200" cy="5270500"/>
                <wp:effectExtent l="0" t="0" r="0" b="635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ic:nvPicPr>
                      <pic:blipFill>
                        <a:blip r:embed="rId20"/>
                        <a:stretch/>
                      </pic:blipFill>
                      <pic:spPr bwMode="auto">
                        <a:xfrm>
                          <a:off x="0" y="0"/>
                          <a:ext cx="5410200" cy="5270500"/>
                        </a:xfrm>
                        <a:prstGeom prst="rect">
                          <a:avLst/>
                        </a:prstGeom>
                        <a:ln/>
                      </pic:spPr>
                    </pic:pic>
                  </a:graphicData>
                </a:graphic>
              </wp:inline>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 o:spid="_x0000_s2" type="#_x0000_t75" style="width:426.00pt;height:415.00pt;mso-wrap-distance-left:0.00pt;mso-wrap-distance-top:0.00pt;mso-wrap-distance-right:0.00pt;mso-wrap-distance-bottom:0.00pt;z-index:1;">
                <v:imagedata r:id="rId21" o:title=""/>
                <o:lock v:ext="edit" rotation="t"/>
              </v:shape>
            </w:pict>
          </mc:Fallback>
        </mc:AlternateContent>
      </w:r>
    </w:p>
    <w:p w14:paraId="0D9B6A97" w14:textId="77777777" w:rsidR="000055AD" w:rsidRDefault="000055AD">
      <w:pPr>
        <w:ind w:firstLine="340"/>
        <w:rPr>
          <w:rFonts w:cs="Times New Roman"/>
        </w:rPr>
      </w:pPr>
    </w:p>
    <w:p w14:paraId="1E54DBA7" w14:textId="77777777" w:rsidR="000055AD" w:rsidRDefault="000055AD">
      <w:pPr>
        <w:ind w:firstLine="340"/>
        <w:rPr>
          <w:rFonts w:cs="Times New Roman"/>
        </w:rPr>
      </w:pPr>
    </w:p>
    <w:p w14:paraId="387B635F" w14:textId="77777777" w:rsidR="000055AD" w:rsidRDefault="000055AD">
      <w:pPr>
        <w:ind w:firstLine="340"/>
        <w:rPr>
          <w:rFonts w:cs="Times New Roman"/>
        </w:rPr>
      </w:pPr>
    </w:p>
    <w:p w14:paraId="709FF4D9" w14:textId="77777777" w:rsidR="000055AD" w:rsidRDefault="000055AD">
      <w:pPr>
        <w:ind w:firstLine="340"/>
        <w:rPr>
          <w:rFonts w:cs="Times New Roman"/>
        </w:rPr>
      </w:pPr>
    </w:p>
    <w:p w14:paraId="438111A8" w14:textId="77777777" w:rsidR="000055AD" w:rsidRDefault="000055AD">
      <w:pPr>
        <w:ind w:firstLine="340"/>
        <w:rPr>
          <w:rFonts w:cs="Times New Roman"/>
        </w:rPr>
      </w:pPr>
    </w:p>
    <w:p w14:paraId="498F385E" w14:textId="77777777" w:rsidR="000055AD" w:rsidRDefault="004B772A">
      <w:pPr>
        <w:spacing w:after="160" w:line="259" w:lineRule="auto"/>
        <w:jc w:val="left"/>
        <w:rPr>
          <w:rFonts w:cs="Times New Roman"/>
        </w:rPr>
      </w:pPr>
      <w:r>
        <w:rPr>
          <w:rFonts w:cs="Times New Roman"/>
        </w:rPr>
        <w:br w:type="page" w:clear="all"/>
      </w:r>
    </w:p>
    <w:p w14:paraId="16723BED" w14:textId="77777777" w:rsidR="000055AD" w:rsidRDefault="004B772A">
      <w:pPr>
        <w:pStyle w:val="Heading1"/>
        <w:rPr>
          <w:rFonts w:ascii="Times New Roman" w:hAnsi="Times New Roman" w:cs="Times New Roman"/>
        </w:rPr>
      </w:pPr>
      <w:bookmarkStart w:id="11" w:name="_Toc226028147"/>
      <w:r>
        <w:rPr>
          <w:rFonts w:ascii="Times New Roman" w:hAnsi="Times New Roman" w:cs="Times New Roman"/>
        </w:rPr>
        <w:lastRenderedPageBreak/>
        <w:t>Reference</w:t>
      </w:r>
      <w:bookmarkEnd w:id="11"/>
    </w:p>
    <w:p w14:paraId="3771BB68" w14:textId="77777777" w:rsidR="000055AD" w:rsidRDefault="004B772A">
      <w:pPr>
        <w:pStyle w:val="Bibliography"/>
        <w:rPr>
          <w:rFonts w:cs="Times New Roman"/>
        </w:rPr>
      </w:pPr>
      <w:r>
        <w:rPr>
          <w:rFonts w:cs="Times New Roman"/>
        </w:rPr>
        <w:fldChar w:fldCharType="begin"/>
      </w:r>
      <w:r>
        <w:rPr>
          <w:rFonts w:cs="Times New Roman"/>
        </w:rPr>
        <w:instrText xml:space="preserve"> ADDIN ZOTERO_BIBL {"uncited":[],"omitted":[],"custom":[]} CSL_BIBLIOGRAPHY </w:instrText>
      </w:r>
      <w:r>
        <w:rPr>
          <w:rFonts w:cs="Times New Roman"/>
        </w:rPr>
        <w:fldChar w:fldCharType="separate"/>
      </w:r>
      <w:r>
        <w:rPr>
          <w:rFonts w:cs="Times New Roman"/>
        </w:rPr>
        <w:t xml:space="preserve">Aldy, Joseph E. 2015. “Policy Surveillance in the G-20 Fossil Fuel Subsidies Agreement: Lessons for Climate Policy.” </w:t>
      </w:r>
      <w:r>
        <w:rPr>
          <w:rFonts w:cs="Times New Roman"/>
          <w:i/>
          <w:iCs/>
        </w:rPr>
        <w:t>Climatic Change</w:t>
      </w:r>
      <w:r>
        <w:rPr>
          <w:rFonts w:cs="Times New Roman"/>
        </w:rPr>
        <w:t xml:space="preserve"> 144 (1): 97–110. https://doi.org/10.1007/s10584-015-1505-0.</w:t>
      </w:r>
    </w:p>
    <w:p w14:paraId="212F4320" w14:textId="77777777" w:rsidR="000055AD" w:rsidRDefault="004B772A">
      <w:pPr>
        <w:pStyle w:val="Bibliography"/>
        <w:rPr>
          <w:rFonts w:cs="Times New Roman"/>
        </w:rPr>
      </w:pPr>
      <w:r>
        <w:rPr>
          <w:rFonts w:cs="Times New Roman"/>
        </w:rPr>
        <w:t xml:space="preserve">Amankwah-Amoah, J., and D. Sarpong. 2016. “Historical Pathways to a Green Economy: The Evolution and Scaling-up of Solar PV in Ghana, 1980-2010.” </w:t>
      </w:r>
      <w:r>
        <w:rPr>
          <w:rFonts w:cs="Times New Roman"/>
          <w:i/>
          <w:iCs/>
        </w:rPr>
        <w:t>Technological Forecasting and Social Change</w:t>
      </w:r>
      <w:r>
        <w:rPr>
          <w:rFonts w:cs="Times New Roman"/>
        </w:rPr>
        <w:t xml:space="preserve"> 102:90–101. https://doi.org/10.1016/j.techfore.2015.02.017.</w:t>
      </w:r>
    </w:p>
    <w:p w14:paraId="2D2EDAE6" w14:textId="77777777" w:rsidR="000055AD" w:rsidRDefault="004B772A">
      <w:pPr>
        <w:pStyle w:val="Bibliography"/>
        <w:rPr>
          <w:rFonts w:cs="Times New Roman"/>
        </w:rPr>
      </w:pPr>
      <w:r>
        <w:rPr>
          <w:rFonts w:cs="Times New Roman"/>
          <w:lang w:val="de-DE"/>
        </w:rPr>
        <w:t xml:space="preserve">Ameli, N., M. Pisu, and D. M. Kammen. </w:t>
      </w:r>
      <w:r>
        <w:rPr>
          <w:rFonts w:cs="Times New Roman"/>
        </w:rPr>
        <w:t xml:space="preserve">2017. “Can the US Keep the PACE? A Natural Experiment in Accelerating the Growth of Solar Electricity.” </w:t>
      </w:r>
      <w:r>
        <w:rPr>
          <w:rFonts w:cs="Times New Roman"/>
          <w:i/>
          <w:iCs/>
        </w:rPr>
        <w:t>Applied Energy</w:t>
      </w:r>
      <w:r>
        <w:rPr>
          <w:rFonts w:cs="Times New Roman"/>
        </w:rPr>
        <w:t xml:space="preserve"> 191:163–69. https://doi.org/10.1016/j.apenergy.2017.01.037.</w:t>
      </w:r>
    </w:p>
    <w:p w14:paraId="79906CD6" w14:textId="77777777" w:rsidR="000055AD" w:rsidRDefault="004B772A">
      <w:pPr>
        <w:pStyle w:val="Bibliography"/>
        <w:rPr>
          <w:rFonts w:cs="Times New Roman"/>
        </w:rPr>
      </w:pPr>
      <w:r>
        <w:rPr>
          <w:rFonts w:cs="Times New Roman"/>
        </w:rPr>
        <w:t xml:space="preserve">Andrews-Speed, P. 2015. “Energy Law in Support of the Low-Carbon Transition: Lessons from the United Kingdom and China.” </w:t>
      </w:r>
      <w:r>
        <w:rPr>
          <w:rFonts w:cs="Times New Roman"/>
          <w:i/>
          <w:iCs/>
        </w:rPr>
        <w:t>Frontiers of Law in China</w:t>
      </w:r>
      <w:r>
        <w:rPr>
          <w:rFonts w:cs="Times New Roman"/>
        </w:rPr>
        <w:t xml:space="preserve"> 10 (2): 295–315. https://doi.org/10.3868/s050-004-015-0016-6.</w:t>
      </w:r>
    </w:p>
    <w:p w14:paraId="34AC524B" w14:textId="77777777" w:rsidR="000055AD" w:rsidRDefault="004B772A">
      <w:pPr>
        <w:pStyle w:val="Bibliography"/>
        <w:rPr>
          <w:rFonts w:cs="Times New Roman"/>
        </w:rPr>
      </w:pPr>
      <w:r>
        <w:rPr>
          <w:rFonts w:cs="Times New Roman"/>
        </w:rPr>
        <w:t xml:space="preserve">Azhgaliyeva, D., M. Belitski, Y. Kalyuzhnova, and M. Romanov. 2018. “Policy Instruments for Renewable Energy: An Empirical Evaluation of Effectiveness.” </w:t>
      </w:r>
      <w:r>
        <w:rPr>
          <w:rFonts w:cs="Times New Roman"/>
          <w:i/>
          <w:iCs/>
        </w:rPr>
        <w:t>International Journal of Technology Intelligence and Planning</w:t>
      </w:r>
      <w:r>
        <w:rPr>
          <w:rFonts w:cs="Times New Roman"/>
        </w:rPr>
        <w:t xml:space="preserve"> 12 (1): 24–48. https://doi.org/10.1504/IJTIP.2018.094409.</w:t>
      </w:r>
    </w:p>
    <w:p w14:paraId="51DDC729" w14:textId="77777777" w:rsidR="000055AD" w:rsidRDefault="004B772A">
      <w:pPr>
        <w:pStyle w:val="Bibliography"/>
        <w:rPr>
          <w:rFonts w:cs="Times New Roman"/>
        </w:rPr>
      </w:pPr>
      <w:r>
        <w:rPr>
          <w:rFonts w:cs="Times New Roman"/>
        </w:rPr>
        <w:t xml:space="preserve">Banja, M., R. Sikkema, M. Jégard, V. Motola, and J.-F. Dallemand. 2019. “Biomass for Energy in the EU – The Support Framework.” </w:t>
      </w:r>
      <w:r>
        <w:rPr>
          <w:rFonts w:cs="Times New Roman"/>
          <w:i/>
          <w:iCs/>
        </w:rPr>
        <w:t>Energy Policy</w:t>
      </w:r>
      <w:r>
        <w:rPr>
          <w:rFonts w:cs="Times New Roman"/>
        </w:rPr>
        <w:t xml:space="preserve"> 131:215–28. https://doi.org/10.1016/j.enpol.2019.04.038.</w:t>
      </w:r>
    </w:p>
    <w:p w14:paraId="442E4769" w14:textId="77777777" w:rsidR="000055AD" w:rsidRDefault="004B772A">
      <w:pPr>
        <w:pStyle w:val="Bibliography"/>
        <w:rPr>
          <w:rFonts w:cs="Times New Roman"/>
        </w:rPr>
      </w:pPr>
      <w:r>
        <w:rPr>
          <w:rFonts w:cs="Times New Roman"/>
        </w:rPr>
        <w:t xml:space="preserve">Barton, B., and P. Schütte. 2017. “Electric Vehicle Law and Policy: A Comparative Analysis.” </w:t>
      </w:r>
      <w:r>
        <w:rPr>
          <w:rFonts w:cs="Times New Roman"/>
          <w:i/>
          <w:iCs/>
        </w:rPr>
        <w:t>Journal of Energy and Natural Resources Law</w:t>
      </w:r>
      <w:r>
        <w:rPr>
          <w:rFonts w:cs="Times New Roman"/>
        </w:rPr>
        <w:t xml:space="preserve"> 35 (2): 147–70. https://doi.org/10.1080/02646811.2017.1262087.</w:t>
      </w:r>
    </w:p>
    <w:p w14:paraId="3E7666FA" w14:textId="77777777" w:rsidR="000055AD" w:rsidRDefault="004B772A">
      <w:pPr>
        <w:pStyle w:val="Bibliography"/>
        <w:rPr>
          <w:rFonts w:cs="Times New Roman"/>
        </w:rPr>
      </w:pPr>
      <w:r>
        <w:rPr>
          <w:rFonts w:cs="Times New Roman"/>
        </w:rPr>
        <w:t xml:space="preserve">Bold, M. van den. 2022. “In Pursuit of Diverse Energy Futures: The Political Economy of Electricity in Senegal.” </w:t>
      </w:r>
      <w:r>
        <w:rPr>
          <w:rFonts w:cs="Times New Roman"/>
          <w:i/>
          <w:iCs/>
        </w:rPr>
        <w:t>Environment and Planning E: Nature and Space</w:t>
      </w:r>
      <w:r>
        <w:rPr>
          <w:rFonts w:cs="Times New Roman"/>
        </w:rPr>
        <w:t xml:space="preserve"> 5 (4): 1807–30. https://doi.org/10.1177/25148486211034808.</w:t>
      </w:r>
    </w:p>
    <w:p w14:paraId="5F596ADF" w14:textId="77777777" w:rsidR="000055AD" w:rsidRDefault="004B772A">
      <w:pPr>
        <w:pStyle w:val="Bibliography"/>
        <w:rPr>
          <w:rFonts w:cs="Times New Roman"/>
        </w:rPr>
      </w:pPr>
      <w:r>
        <w:rPr>
          <w:rFonts w:cs="Times New Roman"/>
        </w:rPr>
        <w:t xml:space="preserve">Bourdais Park, JeongWon, and DaHoon Chung. 2022. “‘Eco-Nuclear’ Energy Transformation? Authoritarian Environmentalism and Regulatory Policy in China.” </w:t>
      </w:r>
      <w:r>
        <w:rPr>
          <w:rFonts w:cs="Times New Roman"/>
          <w:i/>
          <w:iCs/>
        </w:rPr>
        <w:t>Journal of Asian and African Studies</w:t>
      </w:r>
      <w:r>
        <w:rPr>
          <w:rFonts w:cs="Times New Roman"/>
        </w:rPr>
        <w:t xml:space="preserve"> 59 (4): 1263–86. https://doi.org/10.1177/00219096221131502.</w:t>
      </w:r>
    </w:p>
    <w:p w14:paraId="0465D5FD" w14:textId="77777777" w:rsidR="000055AD" w:rsidRDefault="004B772A">
      <w:pPr>
        <w:pStyle w:val="Bibliography"/>
        <w:rPr>
          <w:rFonts w:cs="Times New Roman"/>
        </w:rPr>
      </w:pPr>
      <w:r>
        <w:rPr>
          <w:rFonts w:cs="Times New Roman"/>
        </w:rPr>
        <w:t xml:space="preserve">Bradshaw, A., and G. de Martino Jannuzzi. 2019. “Governing Energy Transitions and Regional Economic Development: Evidence from Three Brazilian States.” </w:t>
      </w:r>
      <w:r>
        <w:rPr>
          <w:rFonts w:cs="Times New Roman"/>
          <w:i/>
          <w:iCs/>
        </w:rPr>
        <w:t>Energy Policy</w:t>
      </w:r>
      <w:r>
        <w:rPr>
          <w:rFonts w:cs="Times New Roman"/>
        </w:rPr>
        <w:t xml:space="preserve"> 126:1-11 Funding details-Columbia University. https://doi.org/10.1016/j.enpol.2018.05.025.</w:t>
      </w:r>
    </w:p>
    <w:p w14:paraId="51CF10BE" w14:textId="77777777" w:rsidR="000055AD" w:rsidRDefault="004B772A">
      <w:pPr>
        <w:pStyle w:val="Bibliography"/>
        <w:rPr>
          <w:rFonts w:cs="Times New Roman"/>
        </w:rPr>
      </w:pPr>
      <w:r>
        <w:rPr>
          <w:rFonts w:cs="Times New Roman"/>
        </w:rPr>
        <w:t xml:space="preserve">Brauers, H., P.-Y. Oei, and P. Walk. 2020. “Comparing Coal Phase-out Pathways: The United Kingdom’s and Germany’s Diverging Transitions.” </w:t>
      </w:r>
      <w:r>
        <w:rPr>
          <w:rFonts w:cs="Times New Roman"/>
          <w:i/>
          <w:iCs/>
        </w:rPr>
        <w:t>Environmental Innovation and Societal Transitions</w:t>
      </w:r>
      <w:r>
        <w:rPr>
          <w:rFonts w:cs="Times New Roman"/>
        </w:rPr>
        <w:t xml:space="preserve"> 37:238–53. https://doi.org/10.1016/j.eist.2020.09.001.</w:t>
      </w:r>
    </w:p>
    <w:p w14:paraId="0FC22DF5" w14:textId="77777777" w:rsidR="000055AD" w:rsidRDefault="004B772A">
      <w:pPr>
        <w:pStyle w:val="Bibliography"/>
        <w:rPr>
          <w:rFonts w:cs="Times New Roman"/>
        </w:rPr>
      </w:pPr>
      <w:r>
        <w:rPr>
          <w:rFonts w:cs="Times New Roman"/>
        </w:rPr>
        <w:t xml:space="preserve">Callaghan, Max W, and Finn Müller-Hansen. 2020. “Statistical Stopping Criteria for Automated Screening in Systematic Reviews.” </w:t>
      </w:r>
      <w:r>
        <w:rPr>
          <w:rFonts w:cs="Times New Roman"/>
          <w:i/>
          <w:iCs/>
        </w:rPr>
        <w:t>Systematic Reviews</w:t>
      </w:r>
      <w:r>
        <w:rPr>
          <w:rFonts w:cs="Times New Roman"/>
        </w:rPr>
        <w:t xml:space="preserve"> 9 (1): 273. https://doi.org/10.1186/s13643-020-01521-4.</w:t>
      </w:r>
    </w:p>
    <w:p w14:paraId="2769B6D2" w14:textId="77777777" w:rsidR="000055AD" w:rsidRDefault="004B772A">
      <w:pPr>
        <w:pStyle w:val="Bibliography"/>
        <w:rPr>
          <w:rFonts w:cs="Times New Roman"/>
        </w:rPr>
      </w:pPr>
      <w:r>
        <w:rPr>
          <w:rFonts w:cs="Times New Roman"/>
        </w:rPr>
        <w:t xml:space="preserve">Chen, P., Y. Wu, J. Meng, P. He, D. Li, D. M. Coffman, X. Liang, and D. Guan. 2022. “The Heterogeneous Role of Energy Policies in the Energy Transition of Asia–Pacific Emerging Economies.” </w:t>
      </w:r>
      <w:r>
        <w:rPr>
          <w:rFonts w:cs="Times New Roman"/>
          <w:i/>
          <w:iCs/>
        </w:rPr>
        <w:t>Nature Energy</w:t>
      </w:r>
      <w:r>
        <w:rPr>
          <w:rFonts w:cs="Times New Roman"/>
        </w:rPr>
        <w:t xml:space="preserve"> 7 (7): 588–96. https://doi.org/10.1038/s41560-022-01029-2.</w:t>
      </w:r>
    </w:p>
    <w:p w14:paraId="1D974D37" w14:textId="77777777" w:rsidR="000055AD" w:rsidRDefault="004B772A">
      <w:pPr>
        <w:pStyle w:val="Bibliography"/>
        <w:rPr>
          <w:rFonts w:cs="Times New Roman"/>
        </w:rPr>
      </w:pPr>
      <w:r>
        <w:rPr>
          <w:rFonts w:cs="Times New Roman"/>
        </w:rPr>
        <w:t xml:space="preserve">Cooke, Alison, Debbie Smith, and Andrew Booth. 2012. “Beyond PICO: The SPIDER Tool for Qualitative Evidence Synthesis.” </w:t>
      </w:r>
      <w:r>
        <w:rPr>
          <w:rFonts w:cs="Times New Roman"/>
          <w:i/>
          <w:iCs/>
        </w:rPr>
        <w:t>Qualitative Health Research</w:t>
      </w:r>
      <w:r>
        <w:rPr>
          <w:rFonts w:cs="Times New Roman"/>
        </w:rPr>
        <w:t xml:space="preserve"> 22 (10): 1435–43. https://doi.org/10.1177/1049732312452938.</w:t>
      </w:r>
    </w:p>
    <w:p w14:paraId="5079EFED" w14:textId="77777777" w:rsidR="000055AD" w:rsidRDefault="004B772A">
      <w:pPr>
        <w:pStyle w:val="Bibliography"/>
        <w:rPr>
          <w:rFonts w:cs="Times New Roman"/>
        </w:rPr>
      </w:pPr>
      <w:r>
        <w:rPr>
          <w:rFonts w:cs="Times New Roman"/>
        </w:rPr>
        <w:t xml:space="preserve">Costa, Evaldo, Ana Carolina Rodrigues Teixeira, Suellen Caroline Silva Costa, and Flavia L. Consoni. 2022. “Influence of Public Policies on the Diffusion of Wind and Solar PV Sources in Brazil and the Possible Effects of COVID-19.” </w:t>
      </w:r>
      <w:r>
        <w:rPr>
          <w:rFonts w:cs="Times New Roman"/>
          <w:i/>
          <w:iCs/>
        </w:rPr>
        <w:t>Renewable &amp; Sustainable Energy Reviews</w:t>
      </w:r>
      <w:r>
        <w:rPr>
          <w:rFonts w:cs="Times New Roman"/>
        </w:rPr>
        <w:t xml:space="preserve"> 162. https://doi.org/10.1016/j.rser.2022.112449.</w:t>
      </w:r>
    </w:p>
    <w:p w14:paraId="70F632BB" w14:textId="77777777" w:rsidR="000055AD" w:rsidRDefault="004B772A">
      <w:pPr>
        <w:pStyle w:val="Bibliography"/>
        <w:rPr>
          <w:rFonts w:cs="Times New Roman"/>
        </w:rPr>
      </w:pPr>
      <w:r>
        <w:rPr>
          <w:rFonts w:cs="Times New Roman"/>
        </w:rPr>
        <w:t xml:space="preserve">Cowell, R., G. Ellis, F. Sherry-Brennan, P. A. Strachan, and D. Toke. 2017. “Energy Transitions, Sub-National Government and Regime Flexibility: How Has Devolution in the United Kingdom Affected Renewable Energy Development?” </w:t>
      </w:r>
      <w:r>
        <w:rPr>
          <w:rFonts w:cs="Times New Roman"/>
          <w:i/>
          <w:iCs/>
        </w:rPr>
        <w:t>Energy Research and Social Science</w:t>
      </w:r>
      <w:r>
        <w:rPr>
          <w:rFonts w:cs="Times New Roman"/>
        </w:rPr>
        <w:t xml:space="preserve"> 23:169–81. https://doi.org/10.1016/j.erss.2016.10.006.</w:t>
      </w:r>
    </w:p>
    <w:p w14:paraId="300535C2" w14:textId="77777777" w:rsidR="000055AD" w:rsidRDefault="004B772A">
      <w:pPr>
        <w:pStyle w:val="Bibliography"/>
        <w:rPr>
          <w:rFonts w:cs="Times New Roman"/>
        </w:rPr>
      </w:pPr>
      <w:r>
        <w:rPr>
          <w:rFonts w:cs="Times New Roman"/>
        </w:rPr>
        <w:t xml:space="preserve">Crago, Christine Lasco, and Ilya Chernyakhovskiy. 2017. “Are Policy Incentives for Solar Power Effective? Evidence from Residential Installations in the Northeast.” </w:t>
      </w:r>
      <w:r>
        <w:rPr>
          <w:rFonts w:cs="Times New Roman"/>
          <w:i/>
          <w:iCs/>
        </w:rPr>
        <w:t>Journal of Environmental Economics and Management</w:t>
      </w:r>
      <w:r>
        <w:rPr>
          <w:rFonts w:cs="Times New Roman"/>
        </w:rPr>
        <w:t xml:space="preserve"> 81 (January):132–51. https://doi.org/10.1016/j.jeem.2016.09.008.</w:t>
      </w:r>
    </w:p>
    <w:p w14:paraId="52EC16D6" w14:textId="77777777" w:rsidR="000055AD" w:rsidRDefault="004B772A">
      <w:pPr>
        <w:pStyle w:val="Bibliography"/>
        <w:rPr>
          <w:rFonts w:cs="Times New Roman"/>
        </w:rPr>
      </w:pPr>
      <w:r>
        <w:rPr>
          <w:rFonts w:cs="Times New Roman"/>
        </w:rPr>
        <w:t xml:space="preserve">Cross, S., A. J. Welfle, P. Thornley, S. Syri, and M. Mikaelsson. 2021. “Bioenergy Development in the UK &amp; Nordic Countries: A Comparison of Effectiveness of Support Policies for Sustainable Development of the Bioenergy Sector.” </w:t>
      </w:r>
      <w:r>
        <w:rPr>
          <w:rFonts w:cs="Times New Roman"/>
          <w:i/>
          <w:iCs/>
        </w:rPr>
        <w:t>Biomass and Bioenergy</w:t>
      </w:r>
      <w:r>
        <w:rPr>
          <w:rFonts w:cs="Times New Roman"/>
        </w:rPr>
        <w:t xml:space="preserve"> 144. https://doi.org/10.1016/j.biombioe.2020.105887.</w:t>
      </w:r>
    </w:p>
    <w:p w14:paraId="4634F4E5" w14:textId="77777777" w:rsidR="000055AD" w:rsidRDefault="004B772A">
      <w:pPr>
        <w:pStyle w:val="Bibliography"/>
        <w:rPr>
          <w:rFonts w:cs="Times New Roman"/>
        </w:rPr>
      </w:pPr>
      <w:r>
        <w:rPr>
          <w:rFonts w:cs="Times New Roman"/>
        </w:rPr>
        <w:t xml:space="preserve">De Laurentis, Carla, and Peter J. G. Pearson. 2021. “Policy-Relevant Insights for Regional Renewable Energy Deployment.” </w:t>
      </w:r>
      <w:r>
        <w:rPr>
          <w:rFonts w:cs="Times New Roman"/>
          <w:i/>
          <w:iCs/>
        </w:rPr>
        <w:t>Energy, Sustainability and Society</w:t>
      </w:r>
      <w:r>
        <w:rPr>
          <w:rFonts w:cs="Times New Roman"/>
        </w:rPr>
        <w:t xml:space="preserve"> 11 (1). https://doi.org/10.1186/s13705-021-00295-4.</w:t>
      </w:r>
    </w:p>
    <w:p w14:paraId="78A3D745" w14:textId="77777777" w:rsidR="000055AD" w:rsidRDefault="004B772A">
      <w:pPr>
        <w:pStyle w:val="Bibliography"/>
        <w:rPr>
          <w:rFonts w:cs="Times New Roman"/>
        </w:rPr>
      </w:pPr>
      <w:r>
        <w:rPr>
          <w:rFonts w:cs="Times New Roman"/>
        </w:rPr>
        <w:t xml:space="preserve">Dent, C. M. 2015. “China’s Renewable Energy Development: Policy, Industry and Business Perspectives.” </w:t>
      </w:r>
      <w:r>
        <w:rPr>
          <w:rFonts w:cs="Times New Roman"/>
          <w:i/>
          <w:iCs/>
        </w:rPr>
        <w:t>Asia Pacific Business Review</w:t>
      </w:r>
      <w:r>
        <w:rPr>
          <w:rFonts w:cs="Times New Roman"/>
        </w:rPr>
        <w:t xml:space="preserve"> 21 (1): 26–43. https://doi.org/10.1080/13602381.2014.939892.</w:t>
      </w:r>
    </w:p>
    <w:p w14:paraId="4086695A" w14:textId="77777777" w:rsidR="000055AD" w:rsidRDefault="004B772A">
      <w:pPr>
        <w:pStyle w:val="Bibliography"/>
        <w:rPr>
          <w:rFonts w:cs="Times New Roman"/>
        </w:rPr>
      </w:pPr>
      <w:r>
        <w:rPr>
          <w:rFonts w:cs="Times New Roman"/>
        </w:rPr>
        <w:lastRenderedPageBreak/>
        <w:t xml:space="preserve">Dijk, Marc, Eric Iversen, Antje Klitkou, Rene Kemp, Simon Bolwig, Mads Borup, and Peter Mollgaard. 2020. “Forks in the Road to E-Mobility: An Evaluation of Instrument Interaction in National Policy Mixes in Northwest Europe.” </w:t>
      </w:r>
      <w:r>
        <w:rPr>
          <w:rFonts w:cs="Times New Roman"/>
          <w:i/>
          <w:iCs/>
        </w:rPr>
        <w:t>Energies</w:t>
      </w:r>
      <w:r>
        <w:rPr>
          <w:rFonts w:cs="Times New Roman"/>
        </w:rPr>
        <w:t xml:space="preserve"> 13 (2). https://doi.org/10.3390/en13020475.</w:t>
      </w:r>
    </w:p>
    <w:p w14:paraId="7F848220" w14:textId="77777777" w:rsidR="000055AD" w:rsidRDefault="004B772A">
      <w:pPr>
        <w:pStyle w:val="Bibliography"/>
        <w:rPr>
          <w:rFonts w:cs="Times New Roman"/>
        </w:rPr>
      </w:pPr>
      <w:r>
        <w:rPr>
          <w:rFonts w:cs="Times New Roman"/>
        </w:rPr>
        <w:t xml:space="preserve">Do, T. N., P. J. Burke, K. G. H. Baldwin, and C. T. Nguyen. 2020. “Underlying Drivers and Barriers for Solar Photovoltaics Diffusion: The Case of Vietnam.” </w:t>
      </w:r>
      <w:r>
        <w:rPr>
          <w:rFonts w:cs="Times New Roman"/>
          <w:i/>
          <w:iCs/>
        </w:rPr>
        <w:t>Energy Policy</w:t>
      </w:r>
      <w:r>
        <w:rPr>
          <w:rFonts w:cs="Times New Roman"/>
        </w:rPr>
        <w:t xml:space="preserve"> 144. https://doi.org/10.1016/j.enpol.2020.111561.</w:t>
      </w:r>
    </w:p>
    <w:p w14:paraId="1980FD10" w14:textId="77777777" w:rsidR="000055AD" w:rsidRDefault="004B772A">
      <w:pPr>
        <w:pStyle w:val="Bibliography"/>
        <w:rPr>
          <w:rFonts w:cs="Times New Roman"/>
        </w:rPr>
      </w:pPr>
      <w:r>
        <w:rPr>
          <w:rFonts w:cs="Times New Roman"/>
        </w:rPr>
        <w:t xml:space="preserve">Do, T. N., P. J. Burke, H. N. Nguyen, I. Overland, B. Suryadi, A. Swandaru, and Z. Yurnaidi. 2021. “Vietnam’s Solar and Wind Power Success: Policy Implications for the Other ASEAN Countries.” </w:t>
      </w:r>
      <w:r>
        <w:rPr>
          <w:rFonts w:cs="Times New Roman"/>
          <w:i/>
          <w:iCs/>
        </w:rPr>
        <w:t>Energy for Sustainable Development</w:t>
      </w:r>
      <w:r>
        <w:rPr>
          <w:rFonts w:cs="Times New Roman"/>
        </w:rPr>
        <w:t xml:space="preserve"> 65:1–11. https://doi.org/10.1016/j.esd.2021.09.002.</w:t>
      </w:r>
    </w:p>
    <w:p w14:paraId="047916F9" w14:textId="77777777" w:rsidR="000055AD" w:rsidRDefault="004B772A">
      <w:pPr>
        <w:pStyle w:val="Bibliography"/>
        <w:rPr>
          <w:rFonts w:cs="Times New Roman"/>
        </w:rPr>
      </w:pPr>
      <w:r>
        <w:rPr>
          <w:rFonts w:cs="Times New Roman"/>
        </w:rPr>
        <w:t xml:space="preserve">Do, Thang Nam, and Paul J. Burke. 2023. “Phasing out Coal Power in a Developing Country Context: Insights from Vietnam.” </w:t>
      </w:r>
      <w:r>
        <w:rPr>
          <w:rFonts w:cs="Times New Roman"/>
          <w:i/>
          <w:iCs/>
        </w:rPr>
        <w:t>Energy Policy</w:t>
      </w:r>
      <w:r>
        <w:rPr>
          <w:rFonts w:cs="Times New Roman"/>
        </w:rPr>
        <w:t xml:space="preserve"> 176 (May):113512. https://doi.org/10.1016/j.enpol.2023.113512.</w:t>
      </w:r>
    </w:p>
    <w:p w14:paraId="3472FEDD" w14:textId="77777777" w:rsidR="000055AD" w:rsidRDefault="004B772A">
      <w:pPr>
        <w:pStyle w:val="Bibliography"/>
        <w:rPr>
          <w:rFonts w:cs="Times New Roman"/>
        </w:rPr>
      </w:pPr>
      <w:r>
        <w:rPr>
          <w:rFonts w:cs="Times New Roman"/>
        </w:rPr>
        <w:t xml:space="preserve">Ebadian, M, S van Dyk, JD McMillan, and J Saddler. 2020. “Biofuels Policies That Have Encouraged Their Production and Use: An International Perspective.” </w:t>
      </w:r>
      <w:r>
        <w:rPr>
          <w:rFonts w:cs="Times New Roman"/>
          <w:i/>
          <w:iCs/>
        </w:rPr>
        <w:t>ENERGY POLICY</w:t>
      </w:r>
      <w:r>
        <w:rPr>
          <w:rFonts w:cs="Times New Roman"/>
        </w:rPr>
        <w:t xml:space="preserve"> 147 (111906). https://doi.org/10.1016/j.enpol.2020.111906.</w:t>
      </w:r>
    </w:p>
    <w:p w14:paraId="3AA824CD" w14:textId="77777777" w:rsidR="000055AD" w:rsidRDefault="004B772A">
      <w:pPr>
        <w:pStyle w:val="Bibliography"/>
        <w:rPr>
          <w:rFonts w:cs="Times New Roman"/>
        </w:rPr>
      </w:pPr>
      <w:r>
        <w:rPr>
          <w:rFonts w:cs="Times New Roman"/>
        </w:rPr>
        <w:t xml:space="preserve">Eberhard, Anton, and Tomas Kåberger. 2016. “Renewable Energy Auctions in South Africa Outshine Feed‐in Tariffs.” </w:t>
      </w:r>
      <w:r>
        <w:rPr>
          <w:rFonts w:cs="Times New Roman"/>
          <w:i/>
          <w:iCs/>
        </w:rPr>
        <w:t>Energy Science &amp;amp; Engineering</w:t>
      </w:r>
      <w:r>
        <w:rPr>
          <w:rFonts w:cs="Times New Roman"/>
        </w:rPr>
        <w:t xml:space="preserve"> 4 (3): 190–93. https://doi.org/10.1002/ese3.118.</w:t>
      </w:r>
    </w:p>
    <w:p w14:paraId="5F988F02" w14:textId="77777777" w:rsidR="000055AD" w:rsidRDefault="004B772A">
      <w:pPr>
        <w:pStyle w:val="Bibliography"/>
        <w:rPr>
          <w:rFonts w:cs="Times New Roman"/>
        </w:rPr>
      </w:pPr>
      <w:r>
        <w:rPr>
          <w:rFonts w:cs="Times New Roman"/>
        </w:rPr>
        <w:t xml:space="preserve">Flores-Fernández, C. 2020. “The Chilean Energy ‘Transition’: Between Successful Policy and the Assimilation of a Post-Political Energy Condition.” </w:t>
      </w:r>
      <w:r>
        <w:rPr>
          <w:rFonts w:cs="Times New Roman"/>
          <w:i/>
          <w:iCs/>
        </w:rPr>
        <w:t>Innovation: The European Journal of Social Science Research</w:t>
      </w:r>
      <w:r>
        <w:rPr>
          <w:rFonts w:cs="Times New Roman"/>
        </w:rPr>
        <w:t xml:space="preserve"> 33 (2): 173–93. https://doi.org/10.1080/13511610.2020.1749836.</w:t>
      </w:r>
    </w:p>
    <w:p w14:paraId="7AB324F4" w14:textId="77777777" w:rsidR="000055AD" w:rsidRDefault="004B772A">
      <w:pPr>
        <w:pStyle w:val="Bibliography"/>
        <w:rPr>
          <w:rFonts w:cs="Times New Roman"/>
        </w:rPr>
      </w:pPr>
      <w:r>
        <w:rPr>
          <w:rFonts w:cs="Times New Roman"/>
        </w:rPr>
        <w:t xml:space="preserve">Furnaro, A. 2023. “The Last Subsidy: Regulating Devaluation in the German Coal Phase-Out.” </w:t>
      </w:r>
      <w:r>
        <w:rPr>
          <w:rFonts w:cs="Times New Roman"/>
          <w:i/>
          <w:iCs/>
        </w:rPr>
        <w:t>New Political Economy</w:t>
      </w:r>
      <w:r>
        <w:rPr>
          <w:rFonts w:cs="Times New Roman"/>
        </w:rPr>
        <w:t xml:space="preserve"> 28 (2): 190–205. https://doi.org/10.1080/13563467.2022.2084523.</w:t>
      </w:r>
    </w:p>
    <w:p w14:paraId="459D8DB1" w14:textId="77777777" w:rsidR="000055AD" w:rsidRDefault="004B772A">
      <w:pPr>
        <w:pStyle w:val="Bibliography"/>
        <w:rPr>
          <w:rFonts w:cs="Times New Roman"/>
        </w:rPr>
      </w:pPr>
      <w:r>
        <w:rPr>
          <w:rFonts w:cs="Times New Roman"/>
        </w:rPr>
        <w:t xml:space="preserve">Gaffney, F., J. P. Deane, and B. P. Ó. Gallachóir. 2017. “A 100 Year Review of Electricity Policy in Ireland (1916–2015).” </w:t>
      </w:r>
      <w:r>
        <w:rPr>
          <w:rFonts w:cs="Times New Roman"/>
          <w:i/>
          <w:iCs/>
        </w:rPr>
        <w:t>Energy Policy</w:t>
      </w:r>
      <w:r>
        <w:rPr>
          <w:rFonts w:cs="Times New Roman"/>
        </w:rPr>
        <w:t xml:space="preserve"> 105:67–79. https://doi.org/10.1016/j.enpol.2017.02.028.</w:t>
      </w:r>
    </w:p>
    <w:p w14:paraId="48518C41" w14:textId="77777777" w:rsidR="000055AD" w:rsidRDefault="004B772A">
      <w:pPr>
        <w:pStyle w:val="Bibliography"/>
        <w:rPr>
          <w:rFonts w:cs="Times New Roman"/>
        </w:rPr>
      </w:pPr>
      <w:r>
        <w:rPr>
          <w:rFonts w:cs="Times New Roman"/>
        </w:rPr>
        <w:t xml:space="preserve">Gao, X., and J. Yuan. 2020. “Policymaking Challenges in Complex Systems: The Political and Socio-Technical Dynamics of Solar Photovoltaic Technology Deployment in China.” </w:t>
      </w:r>
      <w:r>
        <w:rPr>
          <w:rFonts w:cs="Times New Roman"/>
          <w:i/>
          <w:iCs/>
        </w:rPr>
        <w:t>Energy Research and Social Science</w:t>
      </w:r>
      <w:r>
        <w:rPr>
          <w:rFonts w:cs="Times New Roman"/>
        </w:rPr>
        <w:t xml:space="preserve"> 64. https://doi.org/10.1016/j.erss.2020.101426.</w:t>
      </w:r>
    </w:p>
    <w:p w14:paraId="7B7E61FE" w14:textId="77777777" w:rsidR="000055AD" w:rsidRDefault="004B772A">
      <w:pPr>
        <w:pStyle w:val="Bibliography"/>
        <w:rPr>
          <w:rFonts w:cs="Times New Roman"/>
        </w:rPr>
      </w:pPr>
      <w:r>
        <w:rPr>
          <w:rFonts w:cs="Times New Roman"/>
        </w:rPr>
        <w:t xml:space="preserve">Garcia Padron, Juan Andres. 2016. “THE MEXICAN ENERGY REFORM AND CLEAN ENERGY: LESSONS FROM THE SWEDISHNORWEGIAN SCHEME OF CLEAN ENERGY CERTIFICATES.” </w:t>
      </w:r>
      <w:r>
        <w:rPr>
          <w:rFonts w:cs="Times New Roman"/>
          <w:i/>
          <w:iCs/>
        </w:rPr>
        <w:t>Natural Resources Journal</w:t>
      </w:r>
      <w:r>
        <w:rPr>
          <w:rFonts w:cs="Times New Roman"/>
        </w:rPr>
        <w:t xml:space="preserve"> 56 (2): 351–68.</w:t>
      </w:r>
    </w:p>
    <w:p w14:paraId="3A8238F2" w14:textId="77777777" w:rsidR="000055AD" w:rsidRDefault="004B772A">
      <w:pPr>
        <w:pStyle w:val="Bibliography"/>
        <w:rPr>
          <w:rFonts w:cs="Times New Roman"/>
        </w:rPr>
      </w:pPr>
      <w:r>
        <w:rPr>
          <w:rFonts w:cs="Times New Roman"/>
        </w:rPr>
        <w:t xml:space="preserve">Geddes, Anna, Tobias S. Schmidt, and Bjarne Steffen. 2018. “The Multiple Roles of State Investment Banks in Low-Carbon Energy Finance: An Analysis of Australia, the UK and Germany.” </w:t>
      </w:r>
      <w:r>
        <w:rPr>
          <w:rFonts w:cs="Times New Roman"/>
          <w:i/>
          <w:iCs/>
        </w:rPr>
        <w:t>Energy Policy</w:t>
      </w:r>
      <w:r>
        <w:rPr>
          <w:rFonts w:cs="Times New Roman"/>
        </w:rPr>
        <w:t xml:space="preserve"> 115 (April):158–70. https://doi.org/10.1016/j.enpol.2018.01.009.</w:t>
      </w:r>
    </w:p>
    <w:p w14:paraId="30CF7681" w14:textId="77777777" w:rsidR="000055AD" w:rsidRDefault="004B772A">
      <w:pPr>
        <w:pStyle w:val="Bibliography"/>
        <w:rPr>
          <w:rFonts w:cs="Times New Roman"/>
        </w:rPr>
      </w:pPr>
      <w:r>
        <w:rPr>
          <w:rFonts w:cs="Times New Roman"/>
        </w:rPr>
        <w:t xml:space="preserve">Giest, S. 2015. “Comparative Analysis of Sweden’s Wind Energy Policy: The Evolution of ‘Coordinated’ Networks.” </w:t>
      </w:r>
      <w:r>
        <w:rPr>
          <w:rFonts w:cs="Times New Roman"/>
          <w:i/>
          <w:iCs/>
        </w:rPr>
        <w:t>Journal of Comparative Policy Analysis: Research and Practice</w:t>
      </w:r>
      <w:r>
        <w:rPr>
          <w:rFonts w:cs="Times New Roman"/>
        </w:rPr>
        <w:t xml:space="preserve"> 17 (4): 393–407. https://doi.org/10.1080/13876988.2015.1017302.</w:t>
      </w:r>
    </w:p>
    <w:p w14:paraId="2201FD7E" w14:textId="77777777" w:rsidR="000055AD" w:rsidRDefault="004B772A">
      <w:pPr>
        <w:pStyle w:val="Bibliography"/>
        <w:rPr>
          <w:rFonts w:cs="Times New Roman"/>
        </w:rPr>
      </w:pPr>
      <w:r>
        <w:rPr>
          <w:rFonts w:cs="Times New Roman"/>
        </w:rPr>
        <w:t xml:space="preserve">Gomes, Alexandre De Podestá, Robert Pauls, and Tobias ten Brink. 2023. “Industrial Policy and the Creation of the Electric Vehicles Market in China: Demand Structure, Sectoral Complementarities and Policy Coordination.” </w:t>
      </w:r>
      <w:r>
        <w:rPr>
          <w:rFonts w:cs="Times New Roman"/>
          <w:i/>
          <w:iCs/>
        </w:rPr>
        <w:t>Cambridge Journal of Economics</w:t>
      </w:r>
      <w:r>
        <w:rPr>
          <w:rFonts w:cs="Times New Roman"/>
        </w:rPr>
        <w:t xml:space="preserve"> 47 (1): 45–66. https://doi.org/10.1093/cje/beac056.</w:t>
      </w:r>
    </w:p>
    <w:p w14:paraId="4166A151" w14:textId="77777777" w:rsidR="000055AD" w:rsidRDefault="004B772A">
      <w:pPr>
        <w:pStyle w:val="Bibliography"/>
        <w:rPr>
          <w:rFonts w:cs="Times New Roman"/>
        </w:rPr>
      </w:pPr>
      <w:r>
        <w:rPr>
          <w:rFonts w:cs="Times New Roman"/>
        </w:rPr>
        <w:t xml:space="preserve">Guertler, Konrad, David Loew Beer, and Jeremias Herberg. 2021. “Scaling Just Transitions: Legitimation Strategies in Coal Phase-out Commissions in Canada and Germany.” </w:t>
      </w:r>
      <w:r>
        <w:rPr>
          <w:rFonts w:cs="Times New Roman"/>
          <w:i/>
          <w:iCs/>
        </w:rPr>
        <w:t>Political Geography</w:t>
      </w:r>
      <w:r>
        <w:rPr>
          <w:rFonts w:cs="Times New Roman"/>
        </w:rPr>
        <w:t xml:space="preserve"> 88. https://doi.org/10.1016/j.polgeo.2021.102406.</w:t>
      </w:r>
    </w:p>
    <w:p w14:paraId="19477266" w14:textId="77777777" w:rsidR="000055AD" w:rsidRDefault="004B772A">
      <w:pPr>
        <w:pStyle w:val="Bibliography"/>
        <w:rPr>
          <w:rFonts w:cs="Times New Roman"/>
        </w:rPr>
      </w:pPr>
      <w:r>
        <w:rPr>
          <w:rFonts w:cs="Times New Roman"/>
        </w:rPr>
        <w:t xml:space="preserve">Guild, J. 2019. “Feed-in-Tariffs and the Politics of Renewable Energy in Indonesia and the Philippines.” </w:t>
      </w:r>
      <w:r>
        <w:rPr>
          <w:rFonts w:cs="Times New Roman"/>
          <w:i/>
          <w:iCs/>
        </w:rPr>
        <w:t>Asia and the Pacific Policy Studies</w:t>
      </w:r>
      <w:r>
        <w:rPr>
          <w:rFonts w:cs="Times New Roman"/>
        </w:rPr>
        <w:t xml:space="preserve"> 6 (3): 417–31. https://doi.org/10.1002/app5.288.</w:t>
      </w:r>
    </w:p>
    <w:p w14:paraId="64FC81F4" w14:textId="77777777" w:rsidR="000055AD" w:rsidRDefault="004B772A">
      <w:pPr>
        <w:pStyle w:val="Bibliography"/>
        <w:rPr>
          <w:rFonts w:cs="Times New Roman"/>
        </w:rPr>
      </w:pPr>
      <w:r>
        <w:rPr>
          <w:rFonts w:cs="Times New Roman"/>
        </w:rPr>
        <w:t xml:space="preserve">Guliyev, F. 2023. “Renewable Energy Targets and Policies in Traditional Oil-Producing Countries: A Comparison of Azerbaijan and Kazakhstan.” </w:t>
      </w:r>
      <w:r>
        <w:rPr>
          <w:rFonts w:cs="Times New Roman"/>
          <w:i/>
          <w:iCs/>
        </w:rPr>
        <w:t>Journal of Eurasian Studies</w:t>
      </w:r>
      <w:r>
        <w:rPr>
          <w:rFonts w:cs="Times New Roman"/>
        </w:rPr>
        <w:t>. https://doi.org/10.1177/18793665231177720.</w:t>
      </w:r>
    </w:p>
    <w:p w14:paraId="461251BF" w14:textId="77777777" w:rsidR="000055AD" w:rsidRDefault="004B772A">
      <w:pPr>
        <w:pStyle w:val="Bibliography"/>
        <w:rPr>
          <w:rFonts w:cs="Times New Roman"/>
        </w:rPr>
      </w:pPr>
      <w:r>
        <w:rPr>
          <w:rFonts w:cs="Times New Roman"/>
        </w:rPr>
        <w:t xml:space="preserve">Gustafsson, Marcus, and Stefan Anderberg. 2022. “Biogas Policies and Production Development in Europe: A Comparative Analysis of Eight Countries.” </w:t>
      </w:r>
      <w:r>
        <w:rPr>
          <w:rFonts w:cs="Times New Roman"/>
          <w:i/>
          <w:iCs/>
        </w:rPr>
        <w:t>Biofuels-UK</w:t>
      </w:r>
      <w:r>
        <w:rPr>
          <w:rFonts w:cs="Times New Roman"/>
        </w:rPr>
        <w:t xml:space="preserve"> 13 (8): 931–44. https://doi.org/10.1080/17597269.2022.2034380.</w:t>
      </w:r>
    </w:p>
    <w:p w14:paraId="47D6D9A3" w14:textId="77777777" w:rsidR="000055AD" w:rsidRDefault="004B772A">
      <w:pPr>
        <w:pStyle w:val="Bibliography"/>
        <w:rPr>
          <w:rFonts w:cs="Times New Roman"/>
        </w:rPr>
      </w:pPr>
      <w:r>
        <w:rPr>
          <w:rFonts w:cs="Times New Roman"/>
        </w:rPr>
        <w:t xml:space="preserve">Hafeznia, H., A. Aslani, S. Anwar, and M. Yousefjamali. 2017. “Analysis of the Effectiveness of National Renewable Energy Policies: A Case of Photovoltaic Policies.” </w:t>
      </w:r>
      <w:r>
        <w:rPr>
          <w:rFonts w:cs="Times New Roman"/>
          <w:i/>
          <w:iCs/>
        </w:rPr>
        <w:t>Renewable and Sustainable Energy Reviews</w:t>
      </w:r>
      <w:r>
        <w:rPr>
          <w:rFonts w:cs="Times New Roman"/>
        </w:rPr>
        <w:t xml:space="preserve"> 79:669–80. https://doi.org/10.1016/j.rser.2017.05.033.</w:t>
      </w:r>
    </w:p>
    <w:p w14:paraId="18682679" w14:textId="77777777" w:rsidR="000055AD" w:rsidRDefault="004B772A">
      <w:pPr>
        <w:pStyle w:val="Bibliography"/>
        <w:rPr>
          <w:rFonts w:cs="Times New Roman"/>
        </w:rPr>
      </w:pPr>
      <w:r>
        <w:rPr>
          <w:rFonts w:cs="Times New Roman"/>
        </w:rPr>
        <w:t xml:space="preserve">Hsu, J. H.-Y. 2018. “Predictors for Adoption of Local Solar Approval Processes and Impact on Residential Solar Installations in California Cities.” </w:t>
      </w:r>
      <w:r>
        <w:rPr>
          <w:rFonts w:cs="Times New Roman"/>
          <w:i/>
          <w:iCs/>
        </w:rPr>
        <w:t>Energy Policy</w:t>
      </w:r>
      <w:r>
        <w:rPr>
          <w:rFonts w:cs="Times New Roman"/>
        </w:rPr>
        <w:t xml:space="preserve"> 117:463–72. https://doi.org/10.1016/j.enpol.2018.03.008.</w:t>
      </w:r>
    </w:p>
    <w:p w14:paraId="6E98A4C7" w14:textId="77777777" w:rsidR="000055AD" w:rsidRDefault="004B772A">
      <w:pPr>
        <w:pStyle w:val="Bibliography"/>
        <w:rPr>
          <w:rFonts w:cs="Times New Roman"/>
        </w:rPr>
      </w:pPr>
      <w:r>
        <w:rPr>
          <w:rFonts w:cs="Times New Roman"/>
        </w:rPr>
        <w:t xml:space="preserve">Inderberg, Tor Håkon, and Jørgen Wettestad. 2015. “Carbon Capture and Storage in the UK and Germany: Easier Task, Stronger Commitment?” </w:t>
      </w:r>
      <w:r>
        <w:rPr>
          <w:rFonts w:cs="Times New Roman"/>
          <w:i/>
          <w:iCs/>
        </w:rPr>
        <w:t>Environmental Politics</w:t>
      </w:r>
      <w:r>
        <w:rPr>
          <w:rFonts w:cs="Times New Roman"/>
        </w:rPr>
        <w:t xml:space="preserve"> 24 (6): 1014–33. https://doi.org/10.1080/09644016.2015.1062592.</w:t>
      </w:r>
    </w:p>
    <w:p w14:paraId="70F668AA" w14:textId="77777777" w:rsidR="000055AD" w:rsidRDefault="004B772A">
      <w:pPr>
        <w:pStyle w:val="Bibliography"/>
        <w:rPr>
          <w:rFonts w:cs="Times New Roman"/>
        </w:rPr>
      </w:pPr>
      <w:r>
        <w:rPr>
          <w:rFonts w:cs="Times New Roman"/>
        </w:rPr>
        <w:lastRenderedPageBreak/>
        <w:t xml:space="preserve">Isah, Abdulrasheed, Michael O. Dioha, Ramit Debnath, Magnus C. Abraham-Dukuma, and Hemen Mark Butu. 2023. “Financing Renewable Energy: Policy Insights from Brazil and Nigeria.” </w:t>
      </w:r>
      <w:r>
        <w:rPr>
          <w:rFonts w:cs="Times New Roman"/>
          <w:i/>
          <w:iCs/>
        </w:rPr>
        <w:t>Energy Sustainability and Society</w:t>
      </w:r>
      <w:r>
        <w:rPr>
          <w:rFonts w:cs="Times New Roman"/>
        </w:rPr>
        <w:t xml:space="preserve"> 13 (1). https://doi.org/10.1186/s13705-022-00379-9.</w:t>
      </w:r>
    </w:p>
    <w:p w14:paraId="381A440F" w14:textId="77777777" w:rsidR="000055AD" w:rsidRDefault="004B772A">
      <w:pPr>
        <w:pStyle w:val="Bibliography"/>
        <w:rPr>
          <w:rFonts w:cs="Times New Roman"/>
        </w:rPr>
      </w:pPr>
      <w:r>
        <w:rPr>
          <w:rFonts w:cs="Times New Roman"/>
        </w:rPr>
        <w:t xml:space="preserve">Isoaho, K., and J. Markard. 2020. “The Politics of Technology Decline: Discursive Struggles over Coal Phase-Out in the UK.” </w:t>
      </w:r>
      <w:r>
        <w:rPr>
          <w:rFonts w:cs="Times New Roman"/>
          <w:i/>
          <w:iCs/>
        </w:rPr>
        <w:t>Review of Policy Research</w:t>
      </w:r>
      <w:r>
        <w:rPr>
          <w:rFonts w:cs="Times New Roman"/>
        </w:rPr>
        <w:t xml:space="preserve"> 37 (3): 342–68. https://doi.org/10.1111/ropr.12370.</w:t>
      </w:r>
    </w:p>
    <w:p w14:paraId="62B1C87E" w14:textId="77777777" w:rsidR="000055AD" w:rsidRDefault="004B772A">
      <w:pPr>
        <w:pStyle w:val="Bibliography"/>
        <w:rPr>
          <w:rFonts w:cs="Times New Roman"/>
        </w:rPr>
      </w:pPr>
      <w:r>
        <w:rPr>
          <w:rFonts w:cs="Times New Roman"/>
        </w:rPr>
        <w:t xml:space="preserve">Jewell, Jessica, Vadim Vinichenko, Lola Nacke, and Aleh Cherp. 2019. “Prospects for Powering Past Coal.” </w:t>
      </w:r>
      <w:r>
        <w:rPr>
          <w:rFonts w:cs="Times New Roman"/>
          <w:i/>
          <w:iCs/>
        </w:rPr>
        <w:t>Nature Climate Change</w:t>
      </w:r>
      <w:r>
        <w:rPr>
          <w:rFonts w:cs="Times New Roman"/>
        </w:rPr>
        <w:t>, July. https://doi.org/10.1038/s41558-019-0509-6.</w:t>
      </w:r>
    </w:p>
    <w:p w14:paraId="596569D5" w14:textId="77777777" w:rsidR="000055AD" w:rsidRDefault="004B772A">
      <w:pPr>
        <w:pStyle w:val="Bibliography"/>
        <w:rPr>
          <w:rFonts w:cs="Times New Roman"/>
        </w:rPr>
      </w:pPr>
      <w:r>
        <w:rPr>
          <w:rFonts w:cs="Times New Roman"/>
        </w:rPr>
        <w:t xml:space="preserve">Johansson, Petter. 2021. “Heat Pumps in Sweden – A Historical Review.” </w:t>
      </w:r>
      <w:r>
        <w:rPr>
          <w:rFonts w:cs="Times New Roman"/>
          <w:i/>
          <w:iCs/>
        </w:rPr>
        <w:t>Energy</w:t>
      </w:r>
      <w:r>
        <w:rPr>
          <w:rFonts w:cs="Times New Roman"/>
        </w:rPr>
        <w:t xml:space="preserve"> 229 (August):120683. https://doi.org/10.1016/j.energy.2021.120683.</w:t>
      </w:r>
    </w:p>
    <w:p w14:paraId="2299E4FA" w14:textId="77777777" w:rsidR="000055AD" w:rsidRDefault="004B772A">
      <w:pPr>
        <w:pStyle w:val="Bibliography"/>
        <w:rPr>
          <w:rFonts w:cs="Times New Roman"/>
        </w:rPr>
      </w:pPr>
      <w:r>
        <w:rPr>
          <w:rFonts w:cs="Times New Roman"/>
        </w:rPr>
        <w:t xml:space="preserve">Joller, L., and U. Varblane. 2016. “Learning from an Electromobility Living Lab: Experiences from the Estonian ELMO Programme.” </w:t>
      </w:r>
      <w:r>
        <w:rPr>
          <w:rFonts w:cs="Times New Roman"/>
          <w:i/>
          <w:iCs/>
        </w:rPr>
        <w:t>Case Studies on Transport Policy</w:t>
      </w:r>
      <w:r>
        <w:rPr>
          <w:rFonts w:cs="Times New Roman"/>
        </w:rPr>
        <w:t xml:space="preserve"> 4 (2): 57–67. https://doi.org/10.1016/j.cstp.2015.11.001.</w:t>
      </w:r>
    </w:p>
    <w:p w14:paraId="04F20113" w14:textId="77777777" w:rsidR="000055AD" w:rsidRDefault="004B772A">
      <w:pPr>
        <w:pStyle w:val="Bibliography"/>
        <w:rPr>
          <w:rFonts w:cs="Times New Roman"/>
        </w:rPr>
      </w:pPr>
      <w:r>
        <w:rPr>
          <w:rFonts w:cs="Times New Roman"/>
        </w:rPr>
        <w:t xml:space="preserve">Kammermann, Lorenz. 2018. “Factors Driving the Promotion of Hydroelectricity: A Qualitative Comparative Analysis.” </w:t>
      </w:r>
      <w:r>
        <w:rPr>
          <w:rFonts w:cs="Times New Roman"/>
          <w:i/>
          <w:iCs/>
        </w:rPr>
        <w:t>Review of Policy Research</w:t>
      </w:r>
      <w:r>
        <w:rPr>
          <w:rFonts w:cs="Times New Roman"/>
        </w:rPr>
        <w:t xml:space="preserve"> 35 (2): 213–37. https://doi.org/10.1111/ropr.12274.</w:t>
      </w:r>
    </w:p>
    <w:p w14:paraId="531FD67F" w14:textId="77777777" w:rsidR="000055AD" w:rsidRDefault="004B772A">
      <w:pPr>
        <w:pStyle w:val="Bibliography"/>
        <w:rPr>
          <w:rFonts w:cs="Times New Roman"/>
        </w:rPr>
      </w:pPr>
      <w:r>
        <w:rPr>
          <w:rFonts w:cs="Times New Roman"/>
        </w:rPr>
        <w:t xml:space="preserve">Karltorp, Kersti, Siping Guo, and Björn A. Sandén. 2017. “Handling Financial Resource Mobilisation in Technological Innovation Systems - The Case of Chinese Wind Power.” </w:t>
      </w:r>
      <w:r>
        <w:rPr>
          <w:rFonts w:cs="Times New Roman"/>
          <w:i/>
          <w:iCs/>
        </w:rPr>
        <w:t>Journal of Cleaner Production</w:t>
      </w:r>
      <w:r>
        <w:rPr>
          <w:rFonts w:cs="Times New Roman"/>
        </w:rPr>
        <w:t xml:space="preserve"> 142 (January):3872–82. https://doi.org/10.1016/j.jclepro.2016.10.075.</w:t>
      </w:r>
    </w:p>
    <w:p w14:paraId="0774A081" w14:textId="77777777" w:rsidR="000055AD" w:rsidRDefault="004B772A">
      <w:pPr>
        <w:pStyle w:val="Bibliography"/>
        <w:rPr>
          <w:rFonts w:cs="Times New Roman"/>
        </w:rPr>
      </w:pPr>
      <w:r>
        <w:rPr>
          <w:rFonts w:cs="Times New Roman"/>
        </w:rPr>
        <w:t xml:space="preserve">Kedron, Peter. 2015. “Environmental Governance and Shifts in Canadian Biofuel Production and Innovation.” </w:t>
      </w:r>
      <w:r>
        <w:rPr>
          <w:rFonts w:cs="Times New Roman"/>
          <w:i/>
          <w:iCs/>
        </w:rPr>
        <w:t>The Professional Geographer</w:t>
      </w:r>
      <w:r>
        <w:rPr>
          <w:rFonts w:cs="Times New Roman"/>
        </w:rPr>
        <w:t xml:space="preserve"> 67 (3): 385–95. https://doi.org/10.1080/00330124.2014.983589.</w:t>
      </w:r>
    </w:p>
    <w:p w14:paraId="203E2A97" w14:textId="77777777" w:rsidR="000055AD" w:rsidRDefault="004B772A">
      <w:pPr>
        <w:pStyle w:val="Bibliography"/>
        <w:rPr>
          <w:rFonts w:cs="Times New Roman"/>
        </w:rPr>
      </w:pPr>
      <w:r>
        <w:rPr>
          <w:rFonts w:cs="Times New Roman"/>
        </w:rPr>
        <w:t xml:space="preserve">Kim, C. 2021. “A Review of the Deployment Programs, Impact, and Barriers of Renewable Energy Policies in Korea.” </w:t>
      </w:r>
      <w:r>
        <w:rPr>
          <w:rFonts w:cs="Times New Roman"/>
          <w:i/>
          <w:iCs/>
        </w:rPr>
        <w:t>Renewable and Sustainable Energy Reviews</w:t>
      </w:r>
      <w:r>
        <w:rPr>
          <w:rFonts w:cs="Times New Roman"/>
        </w:rPr>
        <w:t xml:space="preserve"> 144. https://doi.org/10.1016/j.rser.2021.110870.</w:t>
      </w:r>
    </w:p>
    <w:p w14:paraId="0BF49F67" w14:textId="77777777" w:rsidR="000055AD" w:rsidRDefault="004B772A">
      <w:pPr>
        <w:pStyle w:val="Bibliography"/>
        <w:rPr>
          <w:rFonts w:cs="Times New Roman"/>
        </w:rPr>
      </w:pPr>
      <w:r>
        <w:rPr>
          <w:rFonts w:cs="Times New Roman"/>
        </w:rPr>
        <w:t xml:space="preserve">Kim, J., and K. Park. 2018. “Effect of the Clean Development Mechanism on the Deployment of Renewable Energy: Less Developed vs. Well-Developed Financial Markets.” </w:t>
      </w:r>
      <w:r>
        <w:rPr>
          <w:rFonts w:cs="Times New Roman"/>
          <w:i/>
          <w:iCs/>
        </w:rPr>
        <w:t>Energy Economics</w:t>
      </w:r>
      <w:r>
        <w:rPr>
          <w:rFonts w:cs="Times New Roman"/>
        </w:rPr>
        <w:t xml:space="preserve"> 75:1–13. https://doi.org/10.1016/j.eneco.2018.07.034.</w:t>
      </w:r>
    </w:p>
    <w:p w14:paraId="4293DCE7" w14:textId="77777777" w:rsidR="000055AD" w:rsidRDefault="004B772A">
      <w:pPr>
        <w:pStyle w:val="Bibliography"/>
        <w:rPr>
          <w:rFonts w:cs="Times New Roman"/>
        </w:rPr>
      </w:pPr>
      <w:r>
        <w:rPr>
          <w:rFonts w:cs="Times New Roman"/>
        </w:rPr>
        <w:t xml:space="preserve">Kim, S., H. Lee, H. Kim, D.-H. Jang, H.-J. Kim, J. Hur, Y.-S. Cho, and K. Hur. 2018. “Improvement in Policy and Proactive Interconnection Procedure for Renewable Energy Expansion in South Korea.” </w:t>
      </w:r>
      <w:r>
        <w:rPr>
          <w:rFonts w:cs="Times New Roman"/>
          <w:i/>
          <w:iCs/>
        </w:rPr>
        <w:t>Renewable and Sustainable Energy Reviews</w:t>
      </w:r>
      <w:r>
        <w:rPr>
          <w:rFonts w:cs="Times New Roman"/>
        </w:rPr>
        <w:t xml:space="preserve"> 98:150–62. https://doi.org/10.1016/j.rser.2018.09.013.</w:t>
      </w:r>
    </w:p>
    <w:p w14:paraId="3D8E6362" w14:textId="77777777" w:rsidR="000055AD" w:rsidRDefault="004B772A">
      <w:pPr>
        <w:pStyle w:val="Bibliography"/>
        <w:rPr>
          <w:rFonts w:cs="Times New Roman"/>
        </w:rPr>
      </w:pPr>
      <w:r>
        <w:rPr>
          <w:rFonts w:cs="Times New Roman"/>
        </w:rPr>
        <w:t xml:space="preserve">Kruger, W., and A. Eberhard. 2018. “Renewable Energy Auctions in Sub-Saharan Africa: Comparing the South African, Ugandan, and Zambian Programs.” </w:t>
      </w:r>
      <w:r>
        <w:rPr>
          <w:rFonts w:cs="Times New Roman"/>
          <w:i/>
          <w:iCs/>
        </w:rPr>
        <w:t>Wiley Interdisciplinary Reviews: Energy and Environment</w:t>
      </w:r>
      <w:r>
        <w:rPr>
          <w:rFonts w:cs="Times New Roman"/>
        </w:rPr>
        <w:t xml:space="preserve"> 7 (4). https://doi.org/10.1002/wene.295.</w:t>
      </w:r>
    </w:p>
    <w:p w14:paraId="1A877BCC" w14:textId="77777777" w:rsidR="000055AD" w:rsidRDefault="004B772A">
      <w:pPr>
        <w:pStyle w:val="Bibliography"/>
        <w:rPr>
          <w:rFonts w:cs="Times New Roman"/>
        </w:rPr>
      </w:pPr>
      <w:r>
        <w:rPr>
          <w:rFonts w:cs="Times New Roman"/>
        </w:rPr>
        <w:t xml:space="preserve">Lemphers, Nathan, Steven Bernstein, Matthew Hoffmann, and David A. Wolfe. 2022. “Rooted in Place: Regional Innovation, Assets, and the Politics of Electric Vehicle Leadership in California, Norway, and Québec.” </w:t>
      </w:r>
      <w:r>
        <w:rPr>
          <w:rFonts w:cs="Times New Roman"/>
          <w:i/>
          <w:iCs/>
        </w:rPr>
        <w:t>Energy Research &amp;amp; Social Science</w:t>
      </w:r>
      <w:r>
        <w:rPr>
          <w:rFonts w:cs="Times New Roman"/>
        </w:rPr>
        <w:t xml:space="preserve"> 87 (May):102462. https://doi.org/10.1016/j.erss.2021.102462.</w:t>
      </w:r>
    </w:p>
    <w:p w14:paraId="5AA508BD" w14:textId="77777777" w:rsidR="000055AD" w:rsidRDefault="004B772A">
      <w:pPr>
        <w:pStyle w:val="Bibliography"/>
        <w:rPr>
          <w:rFonts w:cs="Times New Roman"/>
        </w:rPr>
      </w:pPr>
      <w:r>
        <w:rPr>
          <w:rFonts w:cs="Times New Roman"/>
        </w:rPr>
        <w:t xml:space="preserve">Liu, L, J Li, and J Xie. 2017. “The Role of Biomass in Deeply Decarbonizing China’s Power Generation: Implications for Policy Design and Implementation.” </w:t>
      </w:r>
      <w:r>
        <w:rPr>
          <w:rFonts w:cs="Times New Roman"/>
          <w:i/>
          <w:iCs/>
        </w:rPr>
        <w:t>CARBON MANAGEMENT</w:t>
      </w:r>
      <w:r>
        <w:rPr>
          <w:rFonts w:cs="Times New Roman"/>
        </w:rPr>
        <w:t xml:space="preserve"> 8:191–205. https://doi.org/10.1080/17583004.2017.1309203.</w:t>
      </w:r>
    </w:p>
    <w:p w14:paraId="084D2D61" w14:textId="77777777" w:rsidR="000055AD" w:rsidRDefault="004B772A">
      <w:pPr>
        <w:pStyle w:val="Bibliography"/>
        <w:rPr>
          <w:rFonts w:cs="Times New Roman"/>
        </w:rPr>
      </w:pPr>
      <w:r>
        <w:rPr>
          <w:rFonts w:cs="Times New Roman"/>
        </w:rPr>
        <w:t xml:space="preserve">Liu, Minsi, Kevin Lo, Linda Westman, and Ping Huang. 2022. “Beyond the North-South Divide: The Political Economy and Multi-Level Governance of International Low-Carbon Technology Transfer in China.” </w:t>
      </w:r>
      <w:r>
        <w:rPr>
          <w:rFonts w:cs="Times New Roman"/>
          <w:i/>
          <w:iCs/>
        </w:rPr>
        <w:t>Environmental Innovation and Societal Transitions</w:t>
      </w:r>
      <w:r>
        <w:rPr>
          <w:rFonts w:cs="Times New Roman"/>
        </w:rPr>
        <w:t xml:space="preserve"> 44 (September):194–204. https://doi.org/10.1016/j.eist.2022.07.001.</w:t>
      </w:r>
    </w:p>
    <w:p w14:paraId="13D2993D" w14:textId="77777777" w:rsidR="000055AD" w:rsidRDefault="004B772A">
      <w:pPr>
        <w:pStyle w:val="Bibliography"/>
        <w:rPr>
          <w:rFonts w:cs="Times New Roman"/>
        </w:rPr>
      </w:pPr>
      <w:r>
        <w:rPr>
          <w:rFonts w:cs="Times New Roman"/>
        </w:rPr>
        <w:t xml:space="preserve">Liu, Xiaoling, Xiaohua Sun, Mingshan Li, and Yu Zhai. 2020. “The Effects of Demonstration Projects on Electric Vehicle Diffusion: An Empirical Study in China.” </w:t>
      </w:r>
      <w:r>
        <w:rPr>
          <w:rFonts w:cs="Times New Roman"/>
          <w:i/>
          <w:iCs/>
        </w:rPr>
        <w:t>Energy Policy</w:t>
      </w:r>
      <w:r>
        <w:rPr>
          <w:rFonts w:cs="Times New Roman"/>
        </w:rPr>
        <w:t xml:space="preserve"> 139 (April):111322. https://doi.org/10.1016/j.enpol.2020.111322.</w:t>
      </w:r>
    </w:p>
    <w:p w14:paraId="114D7914" w14:textId="77777777" w:rsidR="000055AD" w:rsidRDefault="004B772A">
      <w:pPr>
        <w:pStyle w:val="Bibliography"/>
        <w:rPr>
          <w:rFonts w:cs="Times New Roman"/>
        </w:rPr>
      </w:pPr>
      <w:r>
        <w:rPr>
          <w:rFonts w:cs="Times New Roman"/>
        </w:rPr>
        <w:t xml:space="preserve">Liu, Zhijian, Qingxu Zhou, Zhiyong Tian, Bao-jie He, and Guangya Jin. 2019. “A Comprehensive Analysis on Definitions, Development, and Policies of Nearly Zero Energy Buildings in China.” </w:t>
      </w:r>
      <w:r>
        <w:rPr>
          <w:rFonts w:cs="Times New Roman"/>
          <w:i/>
          <w:iCs/>
        </w:rPr>
        <w:t>Renewable and Sustainable Energy Reviews</w:t>
      </w:r>
      <w:r>
        <w:rPr>
          <w:rFonts w:cs="Times New Roman"/>
        </w:rPr>
        <w:t xml:space="preserve"> 114 (October):109314. https://doi.org/10.1016/j.rser.2019.109314.</w:t>
      </w:r>
    </w:p>
    <w:p w14:paraId="642AA56B" w14:textId="77777777" w:rsidR="000055AD" w:rsidRDefault="004B772A">
      <w:pPr>
        <w:pStyle w:val="Bibliography"/>
        <w:rPr>
          <w:rFonts w:cs="Times New Roman"/>
        </w:rPr>
      </w:pPr>
      <w:r>
        <w:rPr>
          <w:rFonts w:cs="Times New Roman"/>
        </w:rPr>
        <w:t xml:space="preserve">Ma, Ye, Tianyu Shi, Wei Zhang, Yu Hao, Junbing Huang, and Yinan Lin. 2019. “Comprehensive Policy Evaluation of NEV Development in China, Japan, the United States, and Germany Based on the AHP-EW Model.” </w:t>
      </w:r>
      <w:r>
        <w:rPr>
          <w:rFonts w:cs="Times New Roman"/>
          <w:i/>
          <w:iCs/>
        </w:rPr>
        <w:t>Journal of Cleaner Production</w:t>
      </w:r>
      <w:r>
        <w:rPr>
          <w:rFonts w:cs="Times New Roman"/>
        </w:rPr>
        <w:t xml:space="preserve"> 214 (March):389–402. https://doi.org/10.1016/j.jclepro.2018.12.119.</w:t>
      </w:r>
    </w:p>
    <w:p w14:paraId="5318D9B4" w14:textId="77777777" w:rsidR="000055AD" w:rsidRDefault="004B772A">
      <w:pPr>
        <w:pStyle w:val="Bibliography"/>
        <w:rPr>
          <w:rFonts w:cs="Times New Roman"/>
        </w:rPr>
      </w:pPr>
      <w:r>
        <w:rPr>
          <w:rFonts w:cs="Times New Roman"/>
        </w:rPr>
        <w:t xml:space="preserve">Markard, Jochen, Adrian Rinscheid, and Linda Widdel. 2021. “Analyzing Transitions through the Lens of Discourse Networks: Coal Phase-out in Germany.” </w:t>
      </w:r>
      <w:r>
        <w:rPr>
          <w:rFonts w:cs="Times New Roman"/>
          <w:i/>
          <w:iCs/>
        </w:rPr>
        <w:t>Environmental Innovation and Societal Transitions</w:t>
      </w:r>
      <w:r>
        <w:rPr>
          <w:rFonts w:cs="Times New Roman"/>
        </w:rPr>
        <w:t xml:space="preserve"> 40 (September):315–31. https://doi.org/10.1016/j.eist.2021.08.001.</w:t>
      </w:r>
    </w:p>
    <w:p w14:paraId="7B64B471" w14:textId="77777777" w:rsidR="000055AD" w:rsidRDefault="004B772A">
      <w:pPr>
        <w:pStyle w:val="Bibliography"/>
        <w:rPr>
          <w:rFonts w:cs="Times New Roman"/>
        </w:rPr>
      </w:pPr>
      <w:r>
        <w:rPr>
          <w:rFonts w:cs="Times New Roman"/>
          <w:lang w:val="de-DE"/>
        </w:rPr>
        <w:t xml:space="preserve">Matsuo, Tyeler, and Tobias S. Schmidt. </w:t>
      </w:r>
      <w:r>
        <w:rPr>
          <w:rFonts w:cs="Times New Roman"/>
        </w:rPr>
        <w:t xml:space="preserve">2019. “Managing Tradeoffs in Green Industrial Policies: The Role of Renewable Energy Policy Design.” </w:t>
      </w:r>
      <w:r>
        <w:rPr>
          <w:rFonts w:cs="Times New Roman"/>
          <w:i/>
          <w:iCs/>
        </w:rPr>
        <w:t>World Development</w:t>
      </w:r>
      <w:r>
        <w:rPr>
          <w:rFonts w:cs="Times New Roman"/>
        </w:rPr>
        <w:t xml:space="preserve"> 122:11–26. https://doi.org/10.1016/j.worlddev.2019.05.005.</w:t>
      </w:r>
    </w:p>
    <w:p w14:paraId="616B3C06" w14:textId="77777777" w:rsidR="000055AD" w:rsidRDefault="004B772A">
      <w:pPr>
        <w:pStyle w:val="Bibliography"/>
        <w:rPr>
          <w:rFonts w:cs="Times New Roman"/>
        </w:rPr>
      </w:pPr>
      <w:r>
        <w:rPr>
          <w:rFonts w:cs="Times New Roman"/>
        </w:rPr>
        <w:lastRenderedPageBreak/>
        <w:t xml:space="preserve">Millar, Heather, Eve Bourgeois, Steven Bernstein, and Matthew Hoffmann. 2020. “Self-Reinforcing and Self-Undermining Feedbacks in Subnational Climate Policy Implementation.” </w:t>
      </w:r>
      <w:r>
        <w:rPr>
          <w:rFonts w:cs="Times New Roman"/>
          <w:i/>
          <w:iCs/>
        </w:rPr>
        <w:t>Environmental Politics</w:t>
      </w:r>
      <w:r>
        <w:rPr>
          <w:rFonts w:cs="Times New Roman"/>
        </w:rPr>
        <w:t xml:space="preserve"> 30 (5): 791–810. https://doi.org/10.1080/09644016.2020.1825302.</w:t>
      </w:r>
    </w:p>
    <w:p w14:paraId="69EA9E73" w14:textId="77777777" w:rsidR="000055AD" w:rsidRDefault="004B772A">
      <w:pPr>
        <w:pStyle w:val="Bibliography"/>
        <w:rPr>
          <w:rFonts w:cs="Times New Roman"/>
        </w:rPr>
      </w:pPr>
      <w:r>
        <w:rPr>
          <w:rFonts w:cs="Times New Roman"/>
        </w:rPr>
        <w:t xml:space="preserve">Mirzania, Pegah, Nazmiye Balta-Ozkan, and Lochner Marais. 2020. “One Technology, Two Pathways? Strategic Niche Management and the Diverging Diffusion of Concentrated Solar Power in South Africa and the United States.” </w:t>
      </w:r>
      <w:r>
        <w:rPr>
          <w:rFonts w:cs="Times New Roman"/>
          <w:i/>
          <w:iCs/>
        </w:rPr>
        <w:t>Energy Research &amp;amp; Social Science</w:t>
      </w:r>
      <w:r>
        <w:rPr>
          <w:rFonts w:cs="Times New Roman"/>
        </w:rPr>
        <w:t xml:space="preserve"> 69 (November):101729. https://doi.org/10.1016/j.erss.2020.101729.</w:t>
      </w:r>
    </w:p>
    <w:p w14:paraId="68CD8DAC" w14:textId="77777777" w:rsidR="000055AD" w:rsidRDefault="004B772A">
      <w:pPr>
        <w:pStyle w:val="Bibliography"/>
        <w:rPr>
          <w:rFonts w:cs="Times New Roman"/>
        </w:rPr>
      </w:pPr>
      <w:r>
        <w:rPr>
          <w:rFonts w:cs="Times New Roman"/>
          <w:lang w:val="de-DE"/>
        </w:rPr>
        <w:t xml:space="preserve">Oei, P.-Y., H. Brauers, and P. Herpich. </w:t>
      </w:r>
      <w:r>
        <w:rPr>
          <w:rFonts w:cs="Times New Roman"/>
        </w:rPr>
        <w:t xml:space="preserve">2020. “Lessons from Germany’s Hard Coal Mining Phase-out: Policies and Transition from 1950 to 2018.” </w:t>
      </w:r>
      <w:r>
        <w:rPr>
          <w:rFonts w:cs="Times New Roman"/>
          <w:i/>
          <w:iCs/>
        </w:rPr>
        <w:t>Climate Policy</w:t>
      </w:r>
      <w:r>
        <w:rPr>
          <w:rFonts w:cs="Times New Roman"/>
        </w:rPr>
        <w:t xml:space="preserve"> 20 (8): 963–79. https://doi.org/10.1080/14693062.2019.1688636.</w:t>
      </w:r>
    </w:p>
    <w:p w14:paraId="30C0EEE7" w14:textId="77777777" w:rsidR="000055AD" w:rsidRDefault="004B772A">
      <w:pPr>
        <w:pStyle w:val="Bibliography"/>
        <w:rPr>
          <w:rFonts w:cs="Times New Roman"/>
        </w:rPr>
      </w:pPr>
      <w:r>
        <w:rPr>
          <w:rFonts w:cs="Times New Roman"/>
        </w:rPr>
        <w:t xml:space="preserve">O’Hanlon, Zoë, and Valerie Cummins. 2020. “A Comparative Insight of Irish and Scottish Regulatory Frameworks for Offshore Wind Energy – An Expert Perspective.” </w:t>
      </w:r>
      <w:r>
        <w:rPr>
          <w:rFonts w:cs="Times New Roman"/>
          <w:i/>
          <w:iCs/>
        </w:rPr>
        <w:t>Marine Policy</w:t>
      </w:r>
      <w:r>
        <w:rPr>
          <w:rFonts w:cs="Times New Roman"/>
        </w:rPr>
        <w:t xml:space="preserve"> 117 (July):103934. https://doi.org/10.1016/j.marpol.2020.103934.</w:t>
      </w:r>
    </w:p>
    <w:p w14:paraId="7499F193" w14:textId="77777777" w:rsidR="000055AD" w:rsidRDefault="004B772A">
      <w:pPr>
        <w:pStyle w:val="Bibliography"/>
        <w:rPr>
          <w:rFonts w:cs="Times New Roman"/>
        </w:rPr>
      </w:pPr>
      <w:r>
        <w:rPr>
          <w:rFonts w:cs="Times New Roman"/>
        </w:rPr>
        <w:t xml:space="preserve">O’Shaughnessy, Eric. 2022. “How Policy Has Shaped the Emerging Solar Photovoltaic Installation Industry.” </w:t>
      </w:r>
      <w:r>
        <w:rPr>
          <w:rFonts w:cs="Times New Roman"/>
          <w:i/>
          <w:iCs/>
        </w:rPr>
        <w:t>Energy Policy</w:t>
      </w:r>
      <w:r>
        <w:rPr>
          <w:rFonts w:cs="Times New Roman"/>
        </w:rPr>
        <w:t xml:space="preserve"> 163 (April):112860. https://doi.org/10.1016/j.enpol.2022.112860.</w:t>
      </w:r>
    </w:p>
    <w:p w14:paraId="50D5968D" w14:textId="77777777" w:rsidR="000055AD" w:rsidRDefault="004B772A">
      <w:pPr>
        <w:pStyle w:val="Bibliography"/>
        <w:rPr>
          <w:rFonts w:cs="Times New Roman"/>
        </w:rPr>
      </w:pPr>
      <w:r>
        <w:rPr>
          <w:rFonts w:cs="Times New Roman"/>
        </w:rPr>
        <w:t xml:space="preserve">Peña, I., I. Azevedo, and L. A. F. Marcelino Ferreira. 2017. “Lessons from Wind Policy in Portugal.” </w:t>
      </w:r>
      <w:r>
        <w:rPr>
          <w:rFonts w:cs="Times New Roman"/>
          <w:i/>
          <w:iCs/>
        </w:rPr>
        <w:t>Energy Policy</w:t>
      </w:r>
      <w:r>
        <w:rPr>
          <w:rFonts w:cs="Times New Roman"/>
        </w:rPr>
        <w:t xml:space="preserve"> 103:193–202. https://doi.org/10.1016/j.enpol.2016.11.033.</w:t>
      </w:r>
    </w:p>
    <w:p w14:paraId="2CFD8CB2" w14:textId="77777777" w:rsidR="000055AD" w:rsidRDefault="004B772A">
      <w:pPr>
        <w:pStyle w:val="Bibliography"/>
        <w:rPr>
          <w:rFonts w:cs="Times New Roman"/>
        </w:rPr>
      </w:pPr>
      <w:r>
        <w:rPr>
          <w:rFonts w:cs="Times New Roman"/>
        </w:rPr>
        <w:t xml:space="preserve">Rechsteiner, Rudolf. 2021. “German Energy Transition (Energiewende) and What Politicians Can Learn for Environmental and Climate Policy.” </w:t>
      </w:r>
      <w:r>
        <w:rPr>
          <w:rFonts w:cs="Times New Roman"/>
          <w:i/>
          <w:iCs/>
        </w:rPr>
        <w:t>Clean Technologies and Environmental Policy</w:t>
      </w:r>
      <w:r>
        <w:rPr>
          <w:rFonts w:cs="Times New Roman"/>
        </w:rPr>
        <w:t xml:space="preserve"> 23 (2): 305–42. https://doi.org/10.1007/s10098-020-01939-3.</w:t>
      </w:r>
    </w:p>
    <w:p w14:paraId="160B4A9B" w14:textId="77777777" w:rsidR="000055AD" w:rsidRDefault="004B772A">
      <w:pPr>
        <w:pStyle w:val="Bibliography"/>
        <w:rPr>
          <w:rFonts w:cs="Times New Roman"/>
        </w:rPr>
      </w:pPr>
      <w:r>
        <w:rPr>
          <w:rFonts w:cs="Times New Roman"/>
        </w:rPr>
        <w:t xml:space="preserve">Roppongi, H, A Suwa, and JAP De Oliveira. 2017. “Innovating in Sub-National Climate Policy: The Mandatory Emissions Reduction Scheme in Tokyo.” </w:t>
      </w:r>
      <w:r>
        <w:rPr>
          <w:rFonts w:cs="Times New Roman"/>
          <w:i/>
          <w:iCs/>
        </w:rPr>
        <w:t>CLIMATE POLICY</w:t>
      </w:r>
      <w:r>
        <w:rPr>
          <w:rFonts w:cs="Times New Roman"/>
        </w:rPr>
        <w:t xml:space="preserve"> 17:516–32. https://doi.org/10.1080/14693062.2015.1124749.</w:t>
      </w:r>
    </w:p>
    <w:p w14:paraId="4A39C9CA" w14:textId="77777777" w:rsidR="000055AD" w:rsidRDefault="004B772A">
      <w:pPr>
        <w:pStyle w:val="Bibliography"/>
        <w:rPr>
          <w:rFonts w:cs="Times New Roman"/>
        </w:rPr>
      </w:pPr>
      <w:r>
        <w:rPr>
          <w:rFonts w:cs="Times New Roman"/>
        </w:rPr>
        <w:t xml:space="preserve">Schmieder, Lisa, Dirk Scheer, Johannes Gaiser, Ines Jendritzki, and Benjamin Kraus. 2023. “Municipalities as Change Agents? Reconsidering Roles and Policies in Local Energy Sector-Coupling.” </w:t>
      </w:r>
      <w:r>
        <w:rPr>
          <w:rFonts w:cs="Times New Roman"/>
          <w:i/>
          <w:iCs/>
        </w:rPr>
        <w:t>Energy Research &amp; Social Science</w:t>
      </w:r>
      <w:r>
        <w:rPr>
          <w:rFonts w:cs="Times New Roman"/>
        </w:rPr>
        <w:t xml:space="preserve"> 103 (September):103210. https://doi.org/10.1016/j.erss.2023.103210.</w:t>
      </w:r>
    </w:p>
    <w:p w14:paraId="25FF2E0A" w14:textId="77777777" w:rsidR="000055AD" w:rsidRDefault="004B772A">
      <w:pPr>
        <w:pStyle w:val="Bibliography"/>
        <w:rPr>
          <w:rFonts w:cs="Times New Roman"/>
        </w:rPr>
      </w:pPr>
      <w:r>
        <w:rPr>
          <w:rFonts w:cs="Times New Roman"/>
        </w:rPr>
        <w:t xml:space="preserve">Shao, Jian, and Mile Mišić. 2023. “Why Does Electric Vehicle Deployment Vary so Much within a Nation? Comparing Chinese Provinces by Policy, Economics, and Socio-Demographics.” </w:t>
      </w:r>
      <w:r>
        <w:rPr>
          <w:rFonts w:cs="Times New Roman"/>
          <w:i/>
          <w:iCs/>
        </w:rPr>
        <w:t>Energy Research &amp;amp; Social Science</w:t>
      </w:r>
      <w:r>
        <w:rPr>
          <w:rFonts w:cs="Times New Roman"/>
        </w:rPr>
        <w:t xml:space="preserve"> 102 (August):103196. https://doi.org/10.1016/j.erss.2023.103196.</w:t>
      </w:r>
    </w:p>
    <w:p w14:paraId="4995FF70" w14:textId="77777777" w:rsidR="000055AD" w:rsidRDefault="004B772A">
      <w:pPr>
        <w:pStyle w:val="Bibliography"/>
        <w:rPr>
          <w:rFonts w:cs="Times New Roman"/>
        </w:rPr>
      </w:pPr>
      <w:r>
        <w:rPr>
          <w:rFonts w:cs="Times New Roman"/>
        </w:rPr>
        <w:t xml:space="preserve">Shidore, S, and JW Busby. “What Explains India’s Embrace of Solar? State-Led Energy Transition in a Developmental Polity.” </w:t>
      </w:r>
      <w:r>
        <w:rPr>
          <w:rFonts w:cs="Times New Roman"/>
          <w:i/>
          <w:iCs/>
        </w:rPr>
        <w:t>ENERGY POLICY</w:t>
      </w:r>
      <w:r>
        <w:rPr>
          <w:rFonts w:cs="Times New Roman"/>
        </w:rPr>
        <w:t xml:space="preserve"> 129 (June):1179-1189 Funding details-IC2 Institute Funding text-This research was supported by the IC2 Institute. https://doi.org/10.1016/j.enpol.2019.02.032.</w:t>
      </w:r>
    </w:p>
    <w:p w14:paraId="1A75424F" w14:textId="77777777" w:rsidR="000055AD" w:rsidRDefault="004B772A">
      <w:pPr>
        <w:pStyle w:val="Bibliography"/>
        <w:rPr>
          <w:rFonts w:cs="Times New Roman"/>
        </w:rPr>
      </w:pPr>
      <w:r>
        <w:rPr>
          <w:rFonts w:cs="Times New Roman"/>
        </w:rPr>
        <w:t xml:space="preserve">Shrimali, G., M. Lynes, and J. Indvik. 2015. “Wind Energy Deployment in the U.S.: An Empirical Analysis of the Role of Federal and State Policies.” </w:t>
      </w:r>
      <w:r>
        <w:rPr>
          <w:rFonts w:cs="Times New Roman"/>
          <w:i/>
          <w:iCs/>
        </w:rPr>
        <w:t>Renewable and Sustainable Energy Reviews</w:t>
      </w:r>
      <w:r>
        <w:rPr>
          <w:rFonts w:cs="Times New Roman"/>
        </w:rPr>
        <w:t xml:space="preserve"> 43:796–806. https://doi.org/10.1016/j.rser.2014.11.080.</w:t>
      </w:r>
    </w:p>
    <w:p w14:paraId="1F7D8347" w14:textId="77777777" w:rsidR="000055AD" w:rsidRDefault="004B772A">
      <w:pPr>
        <w:pStyle w:val="Bibliography"/>
        <w:rPr>
          <w:rFonts w:cs="Times New Roman"/>
        </w:rPr>
      </w:pPr>
      <w:r>
        <w:rPr>
          <w:rFonts w:cs="Times New Roman"/>
        </w:rPr>
        <w:t xml:space="preserve">Shuai, X., and R. Raufer. 2021. “Behind-the-Meter Energy Storage in China: Lessons from California’s Approach.” </w:t>
      </w:r>
      <w:r>
        <w:rPr>
          <w:rFonts w:cs="Times New Roman"/>
          <w:i/>
          <w:iCs/>
        </w:rPr>
        <w:t>Wiley Interdisciplinary Reviews: Energy and Environment</w:t>
      </w:r>
      <w:r>
        <w:rPr>
          <w:rFonts w:cs="Times New Roman"/>
        </w:rPr>
        <w:t xml:space="preserve"> 10 (4). https://doi.org/10.1002/wene.394.</w:t>
      </w:r>
    </w:p>
    <w:p w14:paraId="2D220593" w14:textId="77777777" w:rsidR="000055AD" w:rsidRDefault="004B772A">
      <w:pPr>
        <w:pStyle w:val="Bibliography"/>
        <w:rPr>
          <w:rFonts w:cs="Times New Roman"/>
        </w:rPr>
      </w:pPr>
      <w:r>
        <w:rPr>
          <w:rFonts w:cs="Times New Roman"/>
        </w:rPr>
        <w:t xml:space="preserve">Sreenath, S., A.M. Azmi, N.Y. Dahlan, and K. Sudhakar. 2022. “A Decade of Solar PV Deployment in ASEAN: Policy Landscape and Recommendations.” </w:t>
      </w:r>
      <w:r>
        <w:rPr>
          <w:rFonts w:cs="Times New Roman"/>
          <w:i/>
          <w:iCs/>
        </w:rPr>
        <w:t>Energy Reports</w:t>
      </w:r>
      <w:r>
        <w:rPr>
          <w:rFonts w:cs="Times New Roman"/>
        </w:rPr>
        <w:t xml:space="preserve"> 8:460–69. https://doi.org/10.1016/j.egyr.2022.05.219.</w:t>
      </w:r>
    </w:p>
    <w:p w14:paraId="0D3C9685" w14:textId="77777777" w:rsidR="000055AD" w:rsidRDefault="004B772A">
      <w:pPr>
        <w:pStyle w:val="Bibliography"/>
        <w:rPr>
          <w:rFonts w:cs="Times New Roman"/>
        </w:rPr>
      </w:pPr>
      <w:r>
        <w:rPr>
          <w:rFonts w:cs="Times New Roman"/>
        </w:rPr>
        <w:t xml:space="preserve">Strunz, Sebastian, Erik Gawel, and Paul Lehmann. 2016. “The Political Economy of Renewable Energy Policies in Germany and the EU.” </w:t>
      </w:r>
      <w:r>
        <w:rPr>
          <w:rFonts w:cs="Times New Roman"/>
          <w:i/>
          <w:iCs/>
        </w:rPr>
        <w:t>Utilities Policy</w:t>
      </w:r>
      <w:r>
        <w:rPr>
          <w:rFonts w:cs="Times New Roman"/>
        </w:rPr>
        <w:t xml:space="preserve"> 42 (October):33–41. https://doi.org/10.1016/j.jup.2016.04.005.</w:t>
      </w:r>
    </w:p>
    <w:p w14:paraId="6867360B" w14:textId="77777777" w:rsidR="000055AD" w:rsidRDefault="004B772A">
      <w:pPr>
        <w:pStyle w:val="Bibliography"/>
        <w:rPr>
          <w:rFonts w:cs="Times New Roman"/>
        </w:rPr>
      </w:pPr>
      <w:r>
        <w:rPr>
          <w:rFonts w:cs="Times New Roman"/>
        </w:rPr>
        <w:t xml:space="preserve">Thapar, Sapan, Seema Sharma, and Ashu Verma. 2018. “Analyzing Solar Auctions in India: Identifying Key Determinants.” </w:t>
      </w:r>
      <w:r>
        <w:rPr>
          <w:rFonts w:cs="Times New Roman"/>
          <w:i/>
          <w:iCs/>
        </w:rPr>
        <w:t>Energy for Sustainable Development</w:t>
      </w:r>
      <w:r>
        <w:rPr>
          <w:rFonts w:cs="Times New Roman"/>
        </w:rPr>
        <w:t xml:space="preserve"> 45 (August):66–78. https://doi.org/10.1016/j.esd.2018.05.003.</w:t>
      </w:r>
    </w:p>
    <w:p w14:paraId="5A913A02" w14:textId="77777777" w:rsidR="000055AD" w:rsidRDefault="004B772A">
      <w:pPr>
        <w:pStyle w:val="Bibliography"/>
        <w:rPr>
          <w:rFonts w:cs="Times New Roman"/>
        </w:rPr>
      </w:pPr>
      <w:r>
        <w:rPr>
          <w:rFonts w:cs="Times New Roman"/>
          <w:lang w:val="de-DE"/>
        </w:rPr>
        <w:t xml:space="preserve">Tiedemann, Silvana, and Finn Müller-Hansen. </w:t>
      </w:r>
      <w:r>
        <w:rPr>
          <w:rFonts w:cs="Times New Roman"/>
        </w:rPr>
        <w:t xml:space="preserve">2023. “Auctions to Phase out Coal Power: Lessons Learned from Germany.” </w:t>
      </w:r>
      <w:r>
        <w:rPr>
          <w:rFonts w:cs="Times New Roman"/>
          <w:i/>
          <w:iCs/>
        </w:rPr>
        <w:t>Energy Policy</w:t>
      </w:r>
      <w:r>
        <w:rPr>
          <w:rFonts w:cs="Times New Roman"/>
        </w:rPr>
        <w:t xml:space="preserve"> 174 (March):113387. https://doi.org/10.1016/j.enpol.2022.113387.</w:t>
      </w:r>
    </w:p>
    <w:p w14:paraId="106B3BCA" w14:textId="77777777" w:rsidR="000055AD" w:rsidRDefault="004B772A">
      <w:pPr>
        <w:pStyle w:val="Bibliography"/>
        <w:rPr>
          <w:rFonts w:cs="Times New Roman"/>
        </w:rPr>
      </w:pPr>
      <w:r>
        <w:rPr>
          <w:rFonts w:cs="Times New Roman"/>
        </w:rPr>
        <w:t xml:space="preserve">Trencher, Gregory. 2020. “Strategies to Accelerate the Production and Diffusion of Fuel Cell Electric Vehicles: Experiences from California.” </w:t>
      </w:r>
      <w:r>
        <w:rPr>
          <w:rFonts w:cs="Times New Roman"/>
          <w:i/>
          <w:iCs/>
        </w:rPr>
        <w:t>Energy Reports</w:t>
      </w:r>
      <w:r>
        <w:rPr>
          <w:rFonts w:cs="Times New Roman"/>
        </w:rPr>
        <w:t xml:space="preserve"> 6 (November):2503–19. https://doi.org/10.1016/j.egyr.2020.09.008.</w:t>
      </w:r>
    </w:p>
    <w:p w14:paraId="7CE17EC9" w14:textId="77777777" w:rsidR="000055AD" w:rsidRDefault="004B772A">
      <w:pPr>
        <w:pStyle w:val="Bibliography"/>
        <w:rPr>
          <w:rFonts w:cs="Times New Roman"/>
        </w:rPr>
      </w:pPr>
      <w:r>
        <w:rPr>
          <w:rFonts w:cs="Times New Roman"/>
        </w:rPr>
        <w:t xml:space="preserve">Trotta, Gianluca, Joachim Spangenberg, and Sylvia Lorek. 2018. “Energy Efficiency in the Residential Sector: Identification of Promising Policy Instruments and Private Initiatives among Selected European Countries.” </w:t>
      </w:r>
      <w:r>
        <w:rPr>
          <w:rFonts w:cs="Times New Roman"/>
          <w:i/>
          <w:iCs/>
        </w:rPr>
        <w:t>Energy Efficiency</w:t>
      </w:r>
      <w:r>
        <w:rPr>
          <w:rFonts w:cs="Times New Roman"/>
        </w:rPr>
        <w:t xml:space="preserve"> 11 (8): 2111–35. https://doi.org/10.1007/s12053-018-9739-0.</w:t>
      </w:r>
    </w:p>
    <w:p w14:paraId="71C9CD04" w14:textId="77777777" w:rsidR="000055AD" w:rsidRDefault="004B772A">
      <w:pPr>
        <w:pStyle w:val="Bibliography"/>
        <w:rPr>
          <w:rFonts w:cs="Times New Roman"/>
        </w:rPr>
      </w:pPr>
      <w:r>
        <w:rPr>
          <w:rFonts w:cs="Times New Roman"/>
        </w:rPr>
        <w:t xml:space="preserve">Walk, P., and N. Stognief. 2022. “From Coal Phase-out to Net Zero: Driving Factors of UK Climate Policy.” </w:t>
      </w:r>
      <w:r>
        <w:rPr>
          <w:rFonts w:cs="Times New Roman"/>
          <w:i/>
          <w:iCs/>
        </w:rPr>
        <w:t>Environmental Science and Policy</w:t>
      </w:r>
      <w:r>
        <w:rPr>
          <w:rFonts w:cs="Times New Roman"/>
        </w:rPr>
        <w:t xml:space="preserve"> 138:76–84. https://doi.org/10.1016/j.envsci.2022.09.019.</w:t>
      </w:r>
    </w:p>
    <w:p w14:paraId="65CB1726" w14:textId="77777777" w:rsidR="000055AD" w:rsidRDefault="004B772A">
      <w:pPr>
        <w:pStyle w:val="Bibliography"/>
        <w:rPr>
          <w:rFonts w:cs="Times New Roman"/>
        </w:rPr>
      </w:pPr>
      <w:r>
        <w:rPr>
          <w:rFonts w:cs="Times New Roman"/>
        </w:rPr>
        <w:t xml:space="preserve">Wettestad, Jørgen, Tor Håkon Jackson Inderberg, and Lars H. Gulbrandsen. 2023. “Exploring Paths and Innovation in Norwegian Carbon Capture and Storage Policy.” </w:t>
      </w:r>
      <w:r>
        <w:rPr>
          <w:rFonts w:cs="Times New Roman"/>
          <w:i/>
          <w:iCs/>
        </w:rPr>
        <w:t>Environmental Policy and Governance</w:t>
      </w:r>
      <w:r>
        <w:rPr>
          <w:rFonts w:cs="Times New Roman"/>
        </w:rPr>
        <w:t>, May, eet.2068. https://doi.org/10.1002/eet.2068.</w:t>
      </w:r>
    </w:p>
    <w:p w14:paraId="3B440105" w14:textId="77777777" w:rsidR="000055AD" w:rsidRDefault="004B772A">
      <w:pPr>
        <w:pStyle w:val="Bibliography"/>
        <w:rPr>
          <w:rFonts w:cs="Times New Roman"/>
        </w:rPr>
      </w:pPr>
      <w:r>
        <w:rPr>
          <w:rFonts w:cs="Times New Roman"/>
          <w:lang w:val="de-DE"/>
        </w:rPr>
        <w:lastRenderedPageBreak/>
        <w:t xml:space="preserve">Wurster, S., and C. Hagemann. </w:t>
      </w:r>
      <w:r>
        <w:rPr>
          <w:rFonts w:cs="Times New Roman"/>
        </w:rPr>
        <w:t xml:space="preserve">2018. “Two Ways to Success Expansion of Renewable Energies in Comparison between Germany’s Federal States.” </w:t>
      </w:r>
      <w:r>
        <w:rPr>
          <w:rFonts w:cs="Times New Roman"/>
          <w:i/>
          <w:iCs/>
        </w:rPr>
        <w:t>Energy Policy</w:t>
      </w:r>
      <w:r>
        <w:rPr>
          <w:rFonts w:cs="Times New Roman"/>
        </w:rPr>
        <w:t xml:space="preserve"> 119:610–19. https://doi.org/10.1016/j.enpol.2018.04.059.</w:t>
      </w:r>
    </w:p>
    <w:p w14:paraId="3AE7EC17" w14:textId="77777777" w:rsidR="000055AD" w:rsidRDefault="004B772A">
      <w:pPr>
        <w:pStyle w:val="Bibliography"/>
        <w:rPr>
          <w:rFonts w:cs="Times New Roman"/>
        </w:rPr>
      </w:pPr>
      <w:r>
        <w:rPr>
          <w:rFonts w:cs="Times New Roman"/>
        </w:rPr>
        <w:t xml:space="preserve">———. 2020. “Expansion of Renewable Energy in Federal Settings: Austria, Belgium, and Germany in Comparison.” </w:t>
      </w:r>
      <w:r>
        <w:rPr>
          <w:rFonts w:cs="Times New Roman"/>
          <w:i/>
          <w:iCs/>
        </w:rPr>
        <w:t>Journal of Environment and Development</w:t>
      </w:r>
      <w:r>
        <w:rPr>
          <w:rFonts w:cs="Times New Roman"/>
        </w:rPr>
        <w:t xml:space="preserve"> 29 (1): 147–68. https://doi.org/10.1177/1070496519887488.</w:t>
      </w:r>
    </w:p>
    <w:p w14:paraId="6E590EEF" w14:textId="77777777" w:rsidR="000055AD" w:rsidRDefault="004B772A">
      <w:pPr>
        <w:pStyle w:val="Bibliography"/>
        <w:rPr>
          <w:rFonts w:cs="Times New Roman"/>
        </w:rPr>
      </w:pPr>
      <w:r>
        <w:rPr>
          <w:rFonts w:cs="Times New Roman"/>
        </w:rPr>
        <w:t xml:space="preserve">Xie, Li, Zhichao Zhou, and Shimin Hui. 2022. “Does Environmental Regulation Improve the Structure of Power Generation Technology? Evidence from China’s Pilot Policy on the Carbon Emissions Trading Market(CETM).” </w:t>
      </w:r>
      <w:r>
        <w:rPr>
          <w:rFonts w:cs="Times New Roman"/>
          <w:i/>
          <w:iCs/>
        </w:rPr>
        <w:t>Technological Forecasting and Social Change</w:t>
      </w:r>
      <w:r>
        <w:rPr>
          <w:rFonts w:cs="Times New Roman"/>
        </w:rPr>
        <w:t xml:space="preserve"> 176 (March):121428. https://doi.org/10.1016/j.techfore.2021.121428.</w:t>
      </w:r>
    </w:p>
    <w:p w14:paraId="699EEC32" w14:textId="77777777" w:rsidR="000055AD" w:rsidRDefault="004B772A">
      <w:pPr>
        <w:pStyle w:val="Bibliography"/>
        <w:rPr>
          <w:rFonts w:cs="Times New Roman"/>
        </w:rPr>
      </w:pPr>
      <w:r>
        <w:rPr>
          <w:rFonts w:cs="Times New Roman"/>
        </w:rPr>
        <w:t xml:space="preserve">Ydersbond, I. M., and M. S. Korsnes. 2016. “What Drives Investment in Wind Energy? A Comparative Study of China and the European Union.” </w:t>
      </w:r>
      <w:r>
        <w:rPr>
          <w:rFonts w:cs="Times New Roman"/>
          <w:i/>
          <w:iCs/>
        </w:rPr>
        <w:t>Energy Research and Social Science</w:t>
      </w:r>
      <w:r>
        <w:rPr>
          <w:rFonts w:cs="Times New Roman"/>
        </w:rPr>
        <w:t xml:space="preserve"> 12:50–61. https://doi.org/10.1016/j.erss.2015.11.003.</w:t>
      </w:r>
    </w:p>
    <w:p w14:paraId="10D8204B" w14:textId="77777777" w:rsidR="000055AD" w:rsidRDefault="004B772A">
      <w:pPr>
        <w:pStyle w:val="Bibliography"/>
        <w:rPr>
          <w:rFonts w:cs="Times New Roman"/>
        </w:rPr>
      </w:pPr>
      <w:r>
        <w:rPr>
          <w:rFonts w:cs="Times New Roman"/>
        </w:rPr>
        <w:t xml:space="preserve">Zhang, Alex Hongliang, Selahattin Murat Sirin, Conglai Fan, and Maoliang Bu. 2022. “An Analysis of the Factors Driving Utility-Scale Solar PV Investments in China: How Effective Was the Feed-in Tariff Policy?” </w:t>
      </w:r>
      <w:r>
        <w:rPr>
          <w:rFonts w:cs="Times New Roman"/>
          <w:i/>
          <w:iCs/>
        </w:rPr>
        <w:t>Energy Policy</w:t>
      </w:r>
      <w:r>
        <w:rPr>
          <w:rFonts w:cs="Times New Roman"/>
        </w:rPr>
        <w:t xml:space="preserve"> 167 (August):113044. https://doi.org/10.1016/j.enpol.2022.113044.</w:t>
      </w:r>
    </w:p>
    <w:p w14:paraId="4E5BA6D3" w14:textId="77777777" w:rsidR="000055AD" w:rsidRDefault="004B772A">
      <w:pPr>
        <w:pStyle w:val="Bibliography"/>
        <w:rPr>
          <w:rFonts w:cs="Times New Roman"/>
        </w:rPr>
      </w:pPr>
      <w:r>
        <w:rPr>
          <w:rFonts w:cs="Times New Roman"/>
        </w:rPr>
        <w:t xml:space="preserve">Zhang, Fang. 2020. “Leaders and Followers in Finance Mobilization for Renewable Energy in Germany and China.” </w:t>
      </w:r>
      <w:r>
        <w:rPr>
          <w:rFonts w:cs="Times New Roman"/>
          <w:i/>
          <w:iCs/>
        </w:rPr>
        <w:t>Environmental Innovation and Societal Transitions</w:t>
      </w:r>
      <w:r>
        <w:rPr>
          <w:rFonts w:cs="Times New Roman"/>
        </w:rPr>
        <w:t xml:space="preserve"> 37 (December):203–24. https://doi.org/10.1016/j.eist.2020.08.005.</w:t>
      </w:r>
    </w:p>
    <w:p w14:paraId="2D1BD4BB" w14:textId="77777777" w:rsidR="000055AD" w:rsidRDefault="004B772A">
      <w:pPr>
        <w:pStyle w:val="Bibliography"/>
        <w:rPr>
          <w:rFonts w:cs="Times New Roman"/>
        </w:rPr>
      </w:pPr>
      <w:r>
        <w:rPr>
          <w:rFonts w:cs="Times New Roman"/>
        </w:rPr>
        <w:t xml:space="preserve">———. 2023. “Does Not Having an NDB Disadvantage a Country in Finance Mobilization for the Energy Transition? A Comparative Analysis of the Solar PV Deployment in the United States, Germany and China.” </w:t>
      </w:r>
      <w:r>
        <w:rPr>
          <w:rFonts w:cs="Times New Roman"/>
          <w:i/>
          <w:iCs/>
        </w:rPr>
        <w:t>Energy Policy</w:t>
      </w:r>
      <w:r>
        <w:rPr>
          <w:rFonts w:cs="Times New Roman"/>
        </w:rPr>
        <w:t xml:space="preserve"> 172 (January):113306. https://doi.org/10.1016/j.enpol.2022.113306.</w:t>
      </w:r>
    </w:p>
    <w:p w14:paraId="1FBCC8E0" w14:textId="77777777" w:rsidR="000055AD" w:rsidRDefault="004B772A">
      <w:pPr>
        <w:pStyle w:val="Bibliography"/>
        <w:rPr>
          <w:rFonts w:cs="Times New Roman"/>
        </w:rPr>
      </w:pPr>
      <w:r>
        <w:rPr>
          <w:rFonts w:cs="Times New Roman"/>
        </w:rPr>
        <w:t xml:space="preserve">Zhao, Xiaoli, Shujie Li, Sufang Zhang, Rui Yang, and Suwei Liu. 2016. “The Effectiveness of China’s Wind Power Policy: An Empirical Analysis.” </w:t>
      </w:r>
      <w:r>
        <w:rPr>
          <w:rFonts w:cs="Times New Roman"/>
          <w:i/>
          <w:iCs/>
        </w:rPr>
        <w:t>Energy Policy</w:t>
      </w:r>
      <w:r>
        <w:rPr>
          <w:rFonts w:cs="Times New Roman"/>
        </w:rPr>
        <w:t xml:space="preserve"> 95 (August):269–79. https://doi.org/10.1016/j.enpol.2016.04.050.</w:t>
      </w:r>
    </w:p>
    <w:p w14:paraId="28730308" w14:textId="77777777" w:rsidR="000055AD" w:rsidRDefault="004B772A">
      <w:pPr>
        <w:pStyle w:val="Bibliography"/>
        <w:rPr>
          <w:rFonts w:cs="Times New Roman"/>
        </w:rPr>
      </w:pPr>
      <w:r>
        <w:rPr>
          <w:rFonts w:cs="Times New Roman"/>
        </w:rPr>
        <w:t xml:space="preserve">Zhou, Shan, and Barry D. Solomon. 2020. “Do Renewable Portfolio Standards in the United States Stunt Renewable Electricity Development beyond Mandatory Targets?” </w:t>
      </w:r>
      <w:r>
        <w:rPr>
          <w:rFonts w:cs="Times New Roman"/>
          <w:i/>
          <w:iCs/>
        </w:rPr>
        <w:t>Energy Policy</w:t>
      </w:r>
      <w:r>
        <w:rPr>
          <w:rFonts w:cs="Times New Roman"/>
        </w:rPr>
        <w:t xml:space="preserve"> 140 (May):111377. https://doi.org/10.1016/j.enpol.2020.111377.</w:t>
      </w:r>
    </w:p>
    <w:p w14:paraId="5F481296" w14:textId="77777777" w:rsidR="000055AD" w:rsidRDefault="004B772A">
      <w:pPr>
        <w:rPr>
          <w:rFonts w:cs="Times New Roman"/>
        </w:rPr>
      </w:pPr>
      <w:r>
        <w:rPr>
          <w:rFonts w:cs="Times New Roman"/>
        </w:rPr>
        <w:fldChar w:fldCharType="end"/>
      </w:r>
    </w:p>
    <w:p w14:paraId="6AFDE5AC" w14:textId="77777777" w:rsidR="000055AD" w:rsidRDefault="000055AD">
      <w:pPr>
        <w:pStyle w:val="CitaviBibliographyEntry"/>
        <w:spacing w:line="480" w:lineRule="auto"/>
        <w:ind w:left="0" w:firstLine="0"/>
        <w:rPr>
          <w:rFonts w:cs="Times New Roman"/>
        </w:rPr>
      </w:pPr>
    </w:p>
    <w:p w14:paraId="2960E7E1" w14:textId="77777777" w:rsidR="000055AD" w:rsidRDefault="000055AD">
      <w:pPr>
        <w:rPr>
          <w:rFonts w:cs="Times New Roman"/>
        </w:rPr>
      </w:pPr>
    </w:p>
    <w:sectPr w:rsidR="000055AD">
      <w:footerReference w:type="first" r:id="rId22"/>
      <w:pgSz w:w="12240" w:h="15840" w:orient="landscape"/>
      <w:pgMar w:top="1417" w:right="1417" w:bottom="1134" w:left="1417" w:header="708" w:footer="708"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A875F" w14:textId="77777777" w:rsidR="00DA5D7A" w:rsidRDefault="00DA5D7A">
      <w:pPr>
        <w:spacing w:line="240" w:lineRule="auto"/>
      </w:pPr>
      <w:r>
        <w:separator/>
      </w:r>
    </w:p>
  </w:endnote>
  <w:endnote w:type="continuationSeparator" w:id="0">
    <w:p w14:paraId="6CAD20E4" w14:textId="77777777" w:rsidR="00DA5D7A" w:rsidRDefault="00DA5D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F05C1" w14:textId="77777777" w:rsidR="000055AD" w:rsidRDefault="000055A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5572403"/>
      <w:docPartObj>
        <w:docPartGallery w:val="Page Numbers (Bottom of Page)"/>
        <w:docPartUnique/>
      </w:docPartObj>
    </w:sdtPr>
    <w:sdtContent>
      <w:p w14:paraId="4E3B8307" w14:textId="77777777" w:rsidR="000055AD" w:rsidRDefault="004B772A">
        <w:pPr>
          <w:pStyle w:val="Footer"/>
          <w:jc w:val="center"/>
        </w:pPr>
        <w:r>
          <w:fldChar w:fldCharType="begin"/>
        </w:r>
        <w:r>
          <w:instrText xml:space="preserve"> PAGE   \* MERGEFORMAT </w:instrText>
        </w:r>
        <w:r>
          <w:fldChar w:fldCharType="separate"/>
        </w:r>
        <w:r>
          <w:t>2</w:t>
        </w:r>
        <w:r>
          <w:fldChar w:fldCharType="end"/>
        </w:r>
      </w:p>
    </w:sdtContent>
  </w:sdt>
  <w:p w14:paraId="5C1E86BF" w14:textId="77777777" w:rsidR="000055AD" w:rsidRDefault="000055A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6946150"/>
      <w:docPartObj>
        <w:docPartGallery w:val="Page Numbers (Bottom of Page)"/>
        <w:docPartUnique/>
      </w:docPartObj>
    </w:sdtPr>
    <w:sdtContent>
      <w:p w14:paraId="637442E7" w14:textId="77777777" w:rsidR="000055AD" w:rsidRDefault="004B772A">
        <w:pPr>
          <w:pStyle w:val="Footer"/>
          <w:jc w:val="center"/>
        </w:pPr>
        <w:r>
          <w:fldChar w:fldCharType="begin"/>
        </w:r>
        <w:r>
          <w:instrText xml:space="preserve"> PAGE   \* MERGEFORMAT </w:instrText>
        </w:r>
        <w:r>
          <w:fldChar w:fldCharType="separate"/>
        </w:r>
        <w:r>
          <w:t>2</w:t>
        </w:r>
        <w:r>
          <w:fldChar w:fldCharType="end"/>
        </w:r>
      </w:p>
    </w:sdtContent>
  </w:sdt>
  <w:p w14:paraId="7E378BE8" w14:textId="77777777" w:rsidR="000055AD" w:rsidRDefault="000055A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5496931"/>
      <w:docPartObj>
        <w:docPartGallery w:val="Page Numbers (Bottom of Page)"/>
        <w:docPartUnique/>
      </w:docPartObj>
    </w:sdtPr>
    <w:sdtContent>
      <w:p w14:paraId="5FCD403F" w14:textId="77777777" w:rsidR="000055AD" w:rsidRDefault="004B772A">
        <w:pPr>
          <w:pStyle w:val="Footer"/>
          <w:jc w:val="center"/>
        </w:pPr>
        <w:r>
          <w:fldChar w:fldCharType="begin"/>
        </w:r>
        <w:r>
          <w:instrText xml:space="preserve"> PAGE   \* MERGEFORMAT </w:instrText>
        </w:r>
        <w:r>
          <w:fldChar w:fldCharType="separate"/>
        </w:r>
        <w:r>
          <w:t>2</w:t>
        </w:r>
        <w:r>
          <w:fldChar w:fldCharType="end"/>
        </w:r>
      </w:p>
    </w:sdtContent>
  </w:sdt>
  <w:p w14:paraId="6026A46D" w14:textId="77777777" w:rsidR="000055AD" w:rsidRDefault="000055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F9FE1A" w14:textId="77777777" w:rsidR="00DA5D7A" w:rsidRDefault="00DA5D7A">
      <w:pPr>
        <w:spacing w:line="240" w:lineRule="auto"/>
      </w:pPr>
      <w:r>
        <w:separator/>
      </w:r>
    </w:p>
  </w:footnote>
  <w:footnote w:type="continuationSeparator" w:id="0">
    <w:p w14:paraId="15BCE307" w14:textId="77777777" w:rsidR="00DA5D7A" w:rsidRDefault="00DA5D7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587B0" w14:textId="77777777" w:rsidR="000055AD" w:rsidRDefault="000055A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89A3C" w14:textId="77777777" w:rsidR="000055AD" w:rsidRDefault="000055A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60D26" w14:textId="77777777" w:rsidR="000055AD" w:rsidRDefault="000055A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82C3D1A"/>
    <w:multiLevelType w:val="multilevel"/>
    <w:tmpl w:val="B31A6138"/>
    <w:lvl w:ilvl="0">
      <w:start w:val="21"/>
      <w:numFmt w:val="bullet"/>
      <w:suff w:val="space"/>
      <w:lvlText w:val=""/>
      <w:lvlJc w:val="left"/>
      <w:pPr>
        <w:ind w:left="720" w:hanging="360"/>
      </w:pPr>
      <w:rPr>
        <w:rFonts w:ascii="Wingdings" w:eastAsiaTheme="minorHAnsi" w:hAnsi="Wingdings" w:cstheme="minorBidi" w:hint="default"/>
      </w:rPr>
    </w:lvl>
    <w:lvl w:ilvl="1">
      <w:start w:val="1"/>
      <w:numFmt w:val="bullet"/>
      <w:suff w:val="space"/>
      <w:lvlText w:val="o"/>
      <w:lvlJc w:val="left"/>
      <w:pPr>
        <w:ind w:left="1440" w:hanging="360"/>
      </w:pPr>
      <w:rPr>
        <w:rFonts w:ascii="Courier New" w:hAnsi="Courier New" w:cs="Courier New" w:hint="default"/>
      </w:rPr>
    </w:lvl>
    <w:lvl w:ilvl="2">
      <w:start w:val="1"/>
      <w:numFmt w:val="bullet"/>
      <w:suff w:val="space"/>
      <w:lvlText w:val=""/>
      <w:lvlJc w:val="left"/>
      <w:pPr>
        <w:ind w:left="2160" w:hanging="360"/>
      </w:pPr>
      <w:rPr>
        <w:rFonts w:ascii="Wingdings" w:hAnsi="Wingdings" w:hint="default"/>
      </w:rPr>
    </w:lvl>
    <w:lvl w:ilvl="3">
      <w:start w:val="1"/>
      <w:numFmt w:val="bullet"/>
      <w:suff w:val="space"/>
      <w:lvlText w:val=""/>
      <w:lvlJc w:val="left"/>
      <w:pPr>
        <w:ind w:left="2880" w:hanging="360"/>
      </w:pPr>
      <w:rPr>
        <w:rFonts w:ascii="Symbol" w:hAnsi="Symbol" w:hint="default"/>
      </w:rPr>
    </w:lvl>
    <w:lvl w:ilvl="4">
      <w:start w:val="1"/>
      <w:numFmt w:val="bullet"/>
      <w:suff w:val="space"/>
      <w:lvlText w:val="o"/>
      <w:lvlJc w:val="left"/>
      <w:pPr>
        <w:ind w:left="3600" w:hanging="360"/>
      </w:pPr>
      <w:rPr>
        <w:rFonts w:ascii="Courier New" w:hAnsi="Courier New" w:cs="Courier New" w:hint="default"/>
      </w:rPr>
    </w:lvl>
    <w:lvl w:ilvl="5">
      <w:start w:val="1"/>
      <w:numFmt w:val="bullet"/>
      <w:suff w:val="space"/>
      <w:lvlText w:val=""/>
      <w:lvlJc w:val="left"/>
      <w:pPr>
        <w:ind w:left="4320" w:hanging="360"/>
      </w:pPr>
      <w:rPr>
        <w:rFonts w:ascii="Wingdings" w:hAnsi="Wingdings" w:hint="default"/>
      </w:rPr>
    </w:lvl>
    <w:lvl w:ilvl="6">
      <w:start w:val="1"/>
      <w:numFmt w:val="bullet"/>
      <w:suff w:val="space"/>
      <w:lvlText w:val=""/>
      <w:lvlJc w:val="left"/>
      <w:pPr>
        <w:ind w:left="5040" w:hanging="360"/>
      </w:pPr>
      <w:rPr>
        <w:rFonts w:ascii="Symbol" w:hAnsi="Symbol" w:hint="default"/>
      </w:rPr>
    </w:lvl>
    <w:lvl w:ilvl="7">
      <w:start w:val="1"/>
      <w:numFmt w:val="bullet"/>
      <w:suff w:val="space"/>
      <w:lvlText w:val="o"/>
      <w:lvlJc w:val="left"/>
      <w:pPr>
        <w:ind w:left="5760" w:hanging="360"/>
      </w:pPr>
      <w:rPr>
        <w:rFonts w:ascii="Courier New" w:hAnsi="Courier New" w:cs="Courier New" w:hint="default"/>
      </w:rPr>
    </w:lvl>
    <w:lvl w:ilvl="8">
      <w:start w:val="1"/>
      <w:numFmt w:val="bullet"/>
      <w:suff w:val="space"/>
      <w:lvlText w:val=""/>
      <w:lvlJc w:val="left"/>
      <w:pPr>
        <w:ind w:left="6480" w:hanging="360"/>
      </w:pPr>
      <w:rPr>
        <w:rFonts w:ascii="Wingdings" w:hAnsi="Wingdings" w:hint="default"/>
      </w:rPr>
    </w:lvl>
  </w:abstractNum>
  <w:abstractNum w:abstractNumId="1" w15:restartNumberingAfterBreak="0">
    <w:nsid w:val="68E73E9A"/>
    <w:multiLevelType w:val="multilevel"/>
    <w:tmpl w:val="A650CE02"/>
    <w:lvl w:ilvl="0">
      <w:start w:val="1"/>
      <w:numFmt w:val="decimal"/>
      <w:suff w:val="space"/>
      <w:lvlText w:val="(%1)"/>
      <w:lvlJc w:val="left"/>
      <w:pPr>
        <w:ind w:left="720" w:hanging="360"/>
      </w:pPr>
      <w:rPr>
        <w:rFonts w:hint="default"/>
      </w:rPr>
    </w:lvl>
    <w:lvl w:ilvl="1">
      <w:start w:val="1"/>
      <w:numFmt w:val="lowerLetter"/>
      <w:suff w:val="space"/>
      <w:lvlText w:val="%2."/>
      <w:lvlJc w:val="left"/>
      <w:pPr>
        <w:ind w:left="1440" w:hanging="360"/>
      </w:pPr>
    </w:lvl>
    <w:lvl w:ilvl="2">
      <w:start w:val="1"/>
      <w:numFmt w:val="lowerRoman"/>
      <w:suff w:val="space"/>
      <w:lvlText w:val="%3."/>
      <w:lvlJc w:val="right"/>
      <w:pPr>
        <w:ind w:left="2160" w:hanging="180"/>
      </w:pPr>
    </w:lvl>
    <w:lvl w:ilvl="3">
      <w:start w:val="1"/>
      <w:numFmt w:val="decimal"/>
      <w:suff w:val="space"/>
      <w:lvlText w:val="%4."/>
      <w:lvlJc w:val="left"/>
      <w:pPr>
        <w:ind w:left="2880" w:hanging="360"/>
      </w:pPr>
    </w:lvl>
    <w:lvl w:ilvl="4">
      <w:start w:val="1"/>
      <w:numFmt w:val="lowerLetter"/>
      <w:suff w:val="space"/>
      <w:lvlText w:val="%5."/>
      <w:lvlJc w:val="left"/>
      <w:pPr>
        <w:ind w:left="3600" w:hanging="360"/>
      </w:pPr>
    </w:lvl>
    <w:lvl w:ilvl="5">
      <w:start w:val="1"/>
      <w:numFmt w:val="lowerRoman"/>
      <w:suff w:val="space"/>
      <w:lvlText w:val="%6."/>
      <w:lvlJc w:val="right"/>
      <w:pPr>
        <w:ind w:left="4320" w:hanging="180"/>
      </w:pPr>
    </w:lvl>
    <w:lvl w:ilvl="6">
      <w:start w:val="1"/>
      <w:numFmt w:val="decimal"/>
      <w:suff w:val="space"/>
      <w:lvlText w:val="%7."/>
      <w:lvlJc w:val="left"/>
      <w:pPr>
        <w:ind w:left="5040" w:hanging="360"/>
      </w:pPr>
    </w:lvl>
    <w:lvl w:ilvl="7">
      <w:start w:val="1"/>
      <w:numFmt w:val="lowerLetter"/>
      <w:suff w:val="space"/>
      <w:lvlText w:val="%8."/>
      <w:lvlJc w:val="left"/>
      <w:pPr>
        <w:ind w:left="5760" w:hanging="360"/>
      </w:pPr>
    </w:lvl>
    <w:lvl w:ilvl="8">
      <w:start w:val="1"/>
      <w:numFmt w:val="lowerRoman"/>
      <w:suff w:val="space"/>
      <w:lvlText w:val="%9."/>
      <w:lvlJc w:val="right"/>
      <w:pPr>
        <w:ind w:left="6480" w:hanging="180"/>
      </w:pPr>
    </w:lvl>
  </w:abstractNum>
  <w:abstractNum w:abstractNumId="2" w15:restartNumberingAfterBreak="0">
    <w:nsid w:val="69C2010E"/>
    <w:multiLevelType w:val="multilevel"/>
    <w:tmpl w:val="3E34B92E"/>
    <w:lvl w:ilvl="0">
      <w:start w:val="1"/>
      <w:numFmt w:val="decimal"/>
      <w:suff w:val="space"/>
      <w:lvlText w:val="%1"/>
      <w:lvlJc w:val="left"/>
      <w:pPr>
        <w:tabs>
          <w:tab w:val="num" w:pos="432"/>
        </w:tabs>
        <w:ind w:left="432" w:hanging="432"/>
      </w:pPr>
      <w:rPr>
        <w:rFonts w:cs="Times New Roman" w:hint="default"/>
        <w:b/>
        <w:i w:val="0"/>
        <w:sz w:val="22"/>
      </w:rPr>
    </w:lvl>
    <w:lvl w:ilvl="1">
      <w:start w:val="1"/>
      <w:numFmt w:val="decimal"/>
      <w:suff w:val="space"/>
      <w:lvlText w:val="%1.%2"/>
      <w:lvlJc w:val="left"/>
      <w:pPr>
        <w:tabs>
          <w:tab w:val="num" w:pos="860"/>
        </w:tabs>
        <w:ind w:left="860" w:hanging="576"/>
      </w:pPr>
      <w:rPr>
        <w:rFonts w:ascii="Times New Roman" w:hAnsi="Times New Roman" w:cs="Times New Roman" w:hint="default"/>
        <w:b w:val="0"/>
        <w:bCs w:val="0"/>
        <w:i w:val="0"/>
        <w:sz w:val="24"/>
        <w:szCs w:val="24"/>
      </w:rPr>
    </w:lvl>
    <w:lvl w:ilvl="2">
      <w:start w:val="1"/>
      <w:numFmt w:val="decimal"/>
      <w:suff w:val="space"/>
      <w:lvlText w:val="%1.%2.%3"/>
      <w:lvlJc w:val="left"/>
      <w:pPr>
        <w:tabs>
          <w:tab w:val="num" w:pos="720"/>
        </w:tabs>
        <w:ind w:left="720" w:hanging="720"/>
      </w:pPr>
      <w:rPr>
        <w:rFonts w:cs="Times New Roman" w:hint="default"/>
        <w:b/>
        <w:i/>
        <w:sz w:val="22"/>
        <w:szCs w:val="22"/>
      </w:rPr>
    </w:lvl>
    <w:lvl w:ilvl="3">
      <w:start w:val="1"/>
      <w:numFmt w:val="decimal"/>
      <w:suff w:val="space"/>
      <w:lvlText w:val="%1.%2.%3.%4"/>
      <w:lvlJc w:val="left"/>
      <w:pPr>
        <w:tabs>
          <w:tab w:val="num" w:pos="864"/>
        </w:tabs>
        <w:ind w:left="864" w:hanging="864"/>
      </w:pPr>
      <w:rPr>
        <w:rFonts w:ascii="Arial" w:hAnsi="Arial" w:cs="Times New Roman" w:hint="default"/>
        <w:b/>
        <w:i w:val="0"/>
        <w:sz w:val="20"/>
      </w:rPr>
    </w:lvl>
    <w:lvl w:ilvl="4">
      <w:start w:val="1"/>
      <w:numFmt w:val="decimal"/>
      <w:suff w:val="space"/>
      <w:lvlText w:val="%1.%2.%3.%4.%5"/>
      <w:lvlJc w:val="left"/>
      <w:pPr>
        <w:tabs>
          <w:tab w:val="num" w:pos="1008"/>
        </w:tabs>
        <w:ind w:left="1008" w:hanging="1008"/>
      </w:pPr>
      <w:rPr>
        <w:rFonts w:ascii="Arial" w:hAnsi="Arial" w:cs="Times New Roman" w:hint="default"/>
        <w:b/>
        <w:i w:val="0"/>
        <w:sz w:val="20"/>
      </w:rPr>
    </w:lvl>
    <w:lvl w:ilvl="5">
      <w:start w:val="1"/>
      <w:numFmt w:val="decimal"/>
      <w:suff w:val="space"/>
      <w:lvlText w:val="%1.%2.%3.%4.%5.%6"/>
      <w:lvlJc w:val="left"/>
      <w:pPr>
        <w:tabs>
          <w:tab w:val="num" w:pos="1152"/>
        </w:tabs>
        <w:ind w:left="1152" w:hanging="1152"/>
      </w:pPr>
      <w:rPr>
        <w:rFonts w:ascii="Arial" w:hAnsi="Arial" w:cs="Times New Roman" w:hint="default"/>
        <w:b/>
        <w:i w:val="0"/>
        <w:sz w:val="20"/>
      </w:rPr>
    </w:lvl>
    <w:lvl w:ilvl="6">
      <w:start w:val="1"/>
      <w:numFmt w:val="decimal"/>
      <w:suff w:val="space"/>
      <w:lvlText w:val="%1.%2.%3.%4.%5.%6.%7"/>
      <w:lvlJc w:val="left"/>
      <w:pPr>
        <w:tabs>
          <w:tab w:val="num" w:pos="1296"/>
        </w:tabs>
        <w:ind w:left="1296" w:hanging="1296"/>
      </w:pPr>
      <w:rPr>
        <w:rFonts w:cs="Times New Roman" w:hint="default"/>
      </w:rPr>
    </w:lvl>
    <w:lvl w:ilvl="7">
      <w:start w:val="1"/>
      <w:numFmt w:val="decimal"/>
      <w:suff w:val="space"/>
      <w:lvlText w:val="%1.%2.%3.%4.%5.%6.%7.%8"/>
      <w:lvlJc w:val="left"/>
      <w:pPr>
        <w:tabs>
          <w:tab w:val="num" w:pos="1440"/>
        </w:tabs>
        <w:ind w:left="1440" w:hanging="1440"/>
      </w:pPr>
      <w:rPr>
        <w:rFonts w:cs="Times New Roman" w:hint="default"/>
      </w:rPr>
    </w:lvl>
    <w:lvl w:ilvl="8">
      <w:start w:val="1"/>
      <w:numFmt w:val="decimal"/>
      <w:suff w:val="space"/>
      <w:lvlText w:val="%1.%2.%3.%4.%5.%6.%7.%8.%9"/>
      <w:lvlJc w:val="left"/>
      <w:pPr>
        <w:tabs>
          <w:tab w:val="num" w:pos="1584"/>
        </w:tabs>
        <w:ind w:left="1584" w:hanging="1584"/>
      </w:pPr>
      <w:rPr>
        <w:rFonts w:cs="Times New Roman" w:hint="default"/>
      </w:rPr>
    </w:lvl>
  </w:abstractNum>
  <w:num w:numId="1" w16cid:durableId="1605576847">
    <w:abstractNumId w:val="1"/>
  </w:num>
  <w:num w:numId="2" w16cid:durableId="939484379">
    <w:abstractNumId w:val="2"/>
  </w:num>
  <w:num w:numId="3" w16cid:durableId="3442157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55AD"/>
    <w:rsid w:val="000055AD"/>
    <w:rsid w:val="00051DDE"/>
    <w:rsid w:val="00111B6B"/>
    <w:rsid w:val="002C51F1"/>
    <w:rsid w:val="004B772A"/>
    <w:rsid w:val="00DA5D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AA01C"/>
  <w15:docId w15:val="{7FF75F44-C55D-4D92-867E-9A59FD41DB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0" w:line="360" w:lineRule="auto"/>
      <w:jc w:val="both"/>
    </w:pPr>
    <w:rPr>
      <w:rFonts w:ascii="Times New Roman" w:hAnsi="Times New Roman"/>
      <w:sz w:val="20"/>
    </w:rPr>
  </w:style>
  <w:style w:type="paragraph" w:styleId="Heading1">
    <w:name w:val="heading 1"/>
    <w:basedOn w:val="Normal"/>
    <w:next w:val="Normal"/>
    <w:link w:val="Heading1Char"/>
    <w:uiPriority w:val="9"/>
    <w:qFormat/>
    <w:pPr>
      <w:keepNext/>
      <w:keepLines/>
      <w:spacing w:before="240"/>
      <w:outlineLvl w:val="0"/>
    </w:pPr>
    <w:rPr>
      <w:rFonts w:asciiTheme="majorHAnsi" w:eastAsiaTheme="majorEastAsia" w:hAnsiTheme="majorHAnsi" w:cstheme="majorBidi"/>
      <w:sz w:val="32"/>
      <w:szCs w:val="32"/>
    </w:rPr>
  </w:style>
  <w:style w:type="paragraph" w:styleId="Heading2">
    <w:name w:val="heading 2"/>
    <w:basedOn w:val="Normal"/>
    <w:next w:val="Normal"/>
    <w:link w:val="Heading2Char"/>
    <w:uiPriority w:val="9"/>
    <w:unhideWhenUsed/>
    <w:qFormat/>
    <w:pPr>
      <w:keepNext/>
      <w:keepLines/>
      <w:spacing w:before="40"/>
      <w:outlineLvl w:val="1"/>
    </w:pPr>
    <w:rPr>
      <w:rFonts w:asciiTheme="majorHAnsi" w:eastAsiaTheme="majorEastAsia" w:hAnsiTheme="majorHAnsi" w:cstheme="majorBidi"/>
      <w:sz w:val="26"/>
      <w:szCs w:val="26"/>
    </w:rPr>
  </w:style>
  <w:style w:type="paragraph" w:styleId="Heading3">
    <w:name w:val="heading 3"/>
    <w:basedOn w:val="Normal"/>
    <w:next w:val="Normal"/>
    <w:link w:val="Heading3Char"/>
    <w:uiPriority w:val="9"/>
    <w:unhideWhenUsed/>
    <w:qFormat/>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unhideWhenUsed/>
    <w:qFormat/>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unhideWhenUsed/>
    <w:qFormat/>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Accent1">
    <w:name w:val="Grid Table 1 Light Accent 1"/>
    <w:basedOn w:val="TableNormal"/>
    <w:uiPriority w:val="99"/>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ridTable1Light-Accent2">
    <w:name w:val="Grid Table 1 Light Accent 2"/>
    <w:basedOn w:val="TableNormal"/>
    <w:uiPriority w:val="99"/>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ridTable1Light-Accent3">
    <w:name w:val="Grid Table 1 Light Accent 3"/>
    <w:basedOn w:val="TableNormal"/>
    <w:uiPriority w:val="99"/>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ridTable1Light-Accent4">
    <w:name w:val="Grid Table 1 Light Accent 4"/>
    <w:basedOn w:val="TableNormal"/>
    <w:uiPriority w:val="99"/>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ridTable1Light-Accent5">
    <w:name w:val="Grid Table 1 Light Accent 5"/>
    <w:basedOn w:val="TableNormal"/>
    <w:uiPriority w:val="99"/>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ridTable1Light-Accent6">
    <w:name w:val="Grid Table 1 Light Accent 6"/>
    <w:basedOn w:val="TableNormal"/>
    <w:uiPriority w:val="99"/>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Accent1">
    <w:name w:val="Grid Table 2 Accent 1"/>
    <w:basedOn w:val="TableNormal"/>
    <w:uiPriority w:val="99"/>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2-Accent2">
    <w:name w:val="Grid Table 2 Accent 2"/>
    <w:basedOn w:val="TableNormal"/>
    <w:uiPriority w:val="99"/>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2-Accent3">
    <w:name w:val="Grid Table 2 Accent 3"/>
    <w:basedOn w:val="TableNormal"/>
    <w:uiPriority w:val="99"/>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2-Accent4">
    <w:name w:val="Grid Table 2 Accent 4"/>
    <w:basedOn w:val="TableNormal"/>
    <w:uiPriority w:val="99"/>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2-Accent5">
    <w:name w:val="Grid Table 2 Accent 5"/>
    <w:basedOn w:val="TableNormal"/>
    <w:uiPriority w:val="99"/>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2-Accent6">
    <w:name w:val="Grid Table 2 Accent 6"/>
    <w:basedOn w:val="TableNormal"/>
    <w:uiPriority w:val="99"/>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3-Accent1">
    <w:name w:val="Grid Table 3 Accent 1"/>
    <w:basedOn w:val="TableNormal"/>
    <w:uiPriority w:val="99"/>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3-Accent2">
    <w:name w:val="Grid Table 3 Accent 2"/>
    <w:basedOn w:val="TableNormal"/>
    <w:uiPriority w:val="99"/>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3-Accent3">
    <w:name w:val="Grid Table 3 Accent 3"/>
    <w:basedOn w:val="TableNormal"/>
    <w:uiPriority w:val="99"/>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3-Accent4">
    <w:name w:val="Grid Table 3 Accent 4"/>
    <w:basedOn w:val="TableNormal"/>
    <w:uiPriority w:val="99"/>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3-Accent5">
    <w:name w:val="Grid Table 3 Accent 5"/>
    <w:basedOn w:val="TableNormal"/>
    <w:uiPriority w:val="99"/>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3-Accent6">
    <w:name w:val="Grid Table 3 Accent 6"/>
    <w:basedOn w:val="TableNormal"/>
    <w:uiPriority w:val="99"/>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4-Accent1">
    <w:name w:val="Grid Table 4 Accent 1"/>
    <w:basedOn w:val="TableNormal"/>
    <w:uiPriority w:val="59"/>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ridTable4-Accent2">
    <w:name w:val="Grid Table 4 Accent 2"/>
    <w:basedOn w:val="TableNormal"/>
    <w:uiPriority w:val="59"/>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4-Accent3">
    <w:name w:val="Grid Table 4 Accent 3"/>
    <w:basedOn w:val="TableNormal"/>
    <w:uiPriority w:val="59"/>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4-Accent4">
    <w:name w:val="Grid Table 4 Accent 4"/>
    <w:basedOn w:val="TableNormal"/>
    <w:uiPriority w:val="59"/>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4-Accent5">
    <w:name w:val="Grid Table 4 Accent 5"/>
    <w:basedOn w:val="TableNormal"/>
    <w:uiPriority w:val="59"/>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4-Accent6">
    <w:name w:val="Grid Table 4 Accent 6"/>
    <w:basedOn w:val="TableNormal"/>
    <w:uiPriority w:val="59"/>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5Dark-Accent2">
    <w:name w:val="Grid Table 5 Dark Accent 2"/>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ridTable5Dark-Accent3">
    <w:name w:val="Grid Table 5 Dark Accent 3"/>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styleId="GridTable5Dark-Accent5">
    <w:name w:val="Grid Table 5 Dark Accent 5"/>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ridTable5Dark-Accent6">
    <w:name w:val="Grid Table 5 Dark Accent 6"/>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ridTable6Colorful-Accent1">
    <w:name w:val="Grid Table 6 Colorful Accent 1"/>
    <w:basedOn w:val="TableNormal"/>
    <w:uiPriority w:val="99"/>
    <w:pPr>
      <w:spacing w:after="0"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6Colorful-Accent2">
    <w:name w:val="Grid Table 6 Colorful Accent 2"/>
    <w:basedOn w:val="TableNormal"/>
    <w:uiPriority w:val="99"/>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6Colorful-Accent3">
    <w:name w:val="Grid Table 6 Colorful Accent 3"/>
    <w:basedOn w:val="TableNormal"/>
    <w:uiPriority w:val="99"/>
    <w:pPr>
      <w:spacing w:after="0"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6Colorful-Accent4">
    <w:name w:val="Grid Table 6 Colorful Accent 4"/>
    <w:basedOn w:val="TableNormal"/>
    <w:uiPriority w:val="99"/>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6Colorful-Accent5">
    <w:name w:val="Grid Table 6 Colorful Accent 5"/>
    <w:basedOn w:val="TableNormal"/>
    <w:uiPriority w:val="99"/>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6Colorful-Accent6">
    <w:name w:val="Grid Table 6 Colorful Accent 6"/>
    <w:basedOn w:val="TableNormal"/>
    <w:uiPriority w:val="99"/>
    <w:pPr>
      <w:spacing w:after="0"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ridTable7Colorful-Accent1">
    <w:name w:val="Grid Table 7 Colorful Accent 1"/>
    <w:basedOn w:val="TableNormal"/>
    <w:uiPriority w:val="99"/>
    <w:pPr>
      <w:spacing w:after="0"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000000"/>
          <w:left w:val="none" w:sz="0" w:space="0" w:color="000000"/>
          <w:bottom w:val="single" w:sz="4" w:space="0" w:color="A6BFDD" w:themeColor="accent1" w:themeTint="80"/>
          <w:right w:val="none" w:sz="0"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000000"/>
          <w:left w:val="none" w:sz="0" w:space="0" w:color="000000"/>
          <w:bottom w:val="none" w:sz="0"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000000"/>
          <w:left w:val="single" w:sz="4" w:space="0" w:color="A6BFDD" w:themeColor="accent1" w:themeTint="80"/>
          <w:bottom w:val="none" w:sz="0" w:space="0" w:color="000000"/>
          <w:right w:val="none" w:sz="0"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7Colorful-Accent2">
    <w:name w:val="Grid Table 7 Colorful Accent 2"/>
    <w:basedOn w:val="TableNormal"/>
    <w:uiPriority w:val="99"/>
    <w:pPr>
      <w:spacing w:after="0"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000000"/>
          <w:left w:val="none" w:sz="0" w:space="0" w:color="000000"/>
          <w:bottom w:val="single" w:sz="4" w:space="0" w:color="D99695" w:themeColor="accent2" w:themeTint="97"/>
          <w:right w:val="none" w:sz="0"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000000"/>
          <w:left w:val="none" w:sz="0" w:space="0" w:color="000000"/>
          <w:bottom w:val="none" w:sz="0"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000000"/>
          <w:left w:val="single" w:sz="4" w:space="0" w:color="D99695" w:themeColor="accent2" w:themeTint="97"/>
          <w:bottom w:val="none" w:sz="0" w:space="0" w:color="000000"/>
          <w:right w:val="none" w:sz="0"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7Colorful-Accent3">
    <w:name w:val="Grid Table 7 Colorful Accent 3"/>
    <w:basedOn w:val="TableNormal"/>
    <w:uiPriority w:val="99"/>
    <w:pPr>
      <w:spacing w:after="0"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000000"/>
          <w:left w:val="none" w:sz="0" w:space="0" w:color="000000"/>
          <w:bottom w:val="single" w:sz="4" w:space="0" w:color="9ABB59" w:themeColor="accent3" w:themeTint="FE"/>
          <w:right w:val="none" w:sz="0"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000000"/>
          <w:left w:val="none" w:sz="0" w:space="0" w:color="000000"/>
          <w:bottom w:val="none" w:sz="0"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000000"/>
          <w:left w:val="single" w:sz="4" w:space="0" w:color="9ABB59" w:themeColor="accent3" w:themeTint="FE"/>
          <w:bottom w:val="none" w:sz="0" w:space="0" w:color="000000"/>
          <w:right w:val="none" w:sz="0"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7Colorful-Accent4">
    <w:name w:val="Grid Table 7 Colorful Accent 4"/>
    <w:basedOn w:val="TableNormal"/>
    <w:uiPriority w:val="99"/>
    <w:pPr>
      <w:spacing w:after="0"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000000"/>
          <w:left w:val="none" w:sz="0" w:space="0" w:color="000000"/>
          <w:bottom w:val="single" w:sz="4" w:space="0" w:color="B2A1C6" w:themeColor="accent4" w:themeTint="9A"/>
          <w:right w:val="none" w:sz="0"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000000"/>
          <w:left w:val="none" w:sz="0" w:space="0" w:color="000000"/>
          <w:bottom w:val="none" w:sz="0"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000000"/>
          <w:left w:val="single" w:sz="4" w:space="0" w:color="B2A1C6" w:themeColor="accent4" w:themeTint="9A"/>
          <w:bottom w:val="none" w:sz="0" w:space="0" w:color="000000"/>
          <w:right w:val="none" w:sz="0"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7Colorful-Accent5">
    <w:name w:val="Grid Table 7 Colorful Accent 5"/>
    <w:basedOn w:val="TableNormal"/>
    <w:uiPriority w:val="99"/>
    <w:pPr>
      <w:spacing w:after="0"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000000"/>
          <w:left w:val="none" w:sz="0" w:space="0" w:color="000000"/>
          <w:bottom w:val="single" w:sz="4" w:space="0" w:color="99D0DE" w:themeColor="accent5" w:themeTint="90"/>
          <w:right w:val="none" w:sz="0"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000000"/>
          <w:left w:val="none" w:sz="0" w:space="0" w:color="000000"/>
          <w:bottom w:val="none" w:sz="0"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000000"/>
          <w:left w:val="single" w:sz="4" w:space="0" w:color="99D0DE" w:themeColor="accent5" w:themeTint="90"/>
          <w:bottom w:val="none" w:sz="0" w:space="0" w:color="000000"/>
          <w:right w:val="none" w:sz="0"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7Colorful-Accent6">
    <w:name w:val="Grid Table 7 Colorful Accent 6"/>
    <w:basedOn w:val="TableNormal"/>
    <w:uiPriority w:val="99"/>
    <w:pPr>
      <w:spacing w:after="0"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000000"/>
          <w:left w:val="none" w:sz="0" w:space="0" w:color="000000"/>
          <w:bottom w:val="single" w:sz="4" w:space="0" w:color="FAC396" w:themeColor="accent6" w:themeTint="90"/>
          <w:right w:val="none" w:sz="0"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000000"/>
          <w:left w:val="none" w:sz="0" w:space="0" w:color="000000"/>
          <w:bottom w:val="none" w:sz="0"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000000"/>
          <w:left w:val="single" w:sz="4" w:space="0" w:color="FAC396" w:themeColor="accent6" w:themeTint="90"/>
          <w:bottom w:val="none" w:sz="0" w:space="0" w:color="000000"/>
          <w:right w:val="none" w:sz="0"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Table1Light-Accent1">
    <w:name w:val="List Table 1 Light Accent 1"/>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Table1Light-Accent2">
    <w:name w:val="List Table 1 Light Accent 2"/>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Table1Light-Accent3">
    <w:name w:val="List Table 1 Light Accent 3"/>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Table1Light-Accent4">
    <w:name w:val="List Table 1 Light Accent 4"/>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Table1Light-Accent5">
    <w:name w:val="List Table 1 Light Accent 5"/>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Table1Light-Accent6">
    <w:name w:val="List Table 1 Light Accent 6"/>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Table2-Accent1">
    <w:name w:val="List Table 2 Accent 1"/>
    <w:basedOn w:val="TableNormal"/>
    <w:uiPriority w:val="99"/>
    <w:pPr>
      <w:spacing w:after="0"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2-Accent2">
    <w:name w:val="List Table 2 Accent 2"/>
    <w:basedOn w:val="TableNormal"/>
    <w:uiPriority w:val="99"/>
    <w:pPr>
      <w:spacing w:after="0"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2-Accent3">
    <w:name w:val="List Table 2 Accent 3"/>
    <w:basedOn w:val="TableNormal"/>
    <w:uiPriority w:val="99"/>
    <w:pPr>
      <w:spacing w:after="0"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2-Accent4">
    <w:name w:val="List Table 2 Accent 4"/>
    <w:basedOn w:val="TableNormal"/>
    <w:uiPriority w:val="99"/>
    <w:pPr>
      <w:spacing w:after="0"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2-Accent5">
    <w:name w:val="List Table 2 Accent 5"/>
    <w:basedOn w:val="TableNormal"/>
    <w:uiPriority w:val="99"/>
    <w:pPr>
      <w:spacing w:after="0"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2-Accent6">
    <w:name w:val="List Table 2 Accent 6"/>
    <w:basedOn w:val="TableNormal"/>
    <w:uiPriority w:val="99"/>
    <w:pPr>
      <w:spacing w:after="0"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3-Accent1">
    <w:name w:val="List Table 3 Accent 1"/>
    <w:basedOn w:val="TableNormal"/>
    <w:uiPriority w:val="99"/>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Table3-Accent2">
    <w:name w:val="List Table 3 Accent 2"/>
    <w:basedOn w:val="TableNormal"/>
    <w:uiPriority w:val="99"/>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Table3-Accent3">
    <w:name w:val="List Table 3 Accent 3"/>
    <w:basedOn w:val="TableNormal"/>
    <w:uiPriority w:val="99"/>
    <w:pPr>
      <w:spacing w:after="0"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Table3-Accent4">
    <w:name w:val="List Table 3 Accent 4"/>
    <w:basedOn w:val="TableNormal"/>
    <w:uiPriority w:val="99"/>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Table3-Accent5">
    <w:name w:val="List Table 3 Accent 5"/>
    <w:basedOn w:val="TableNormal"/>
    <w:uiPriority w:val="99"/>
    <w:pPr>
      <w:spacing w:after="0"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Table3-Accent6">
    <w:name w:val="List Table 3 Accent 6"/>
    <w:basedOn w:val="TableNormal"/>
    <w:uiPriority w:val="99"/>
    <w:pPr>
      <w:spacing w:after="0"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Accent1">
    <w:name w:val="List Table 4 Accent 1"/>
    <w:basedOn w:val="TableNormal"/>
    <w:uiPriority w:val="99"/>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4-Accent2">
    <w:name w:val="List Table 4 Accent 2"/>
    <w:basedOn w:val="TableNormal"/>
    <w:uiPriority w:val="99"/>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4-Accent3">
    <w:name w:val="List Table 4 Accent 3"/>
    <w:basedOn w:val="TableNormal"/>
    <w:uiPriority w:val="99"/>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4-Accent4">
    <w:name w:val="List Table 4 Accent 4"/>
    <w:basedOn w:val="TableNormal"/>
    <w:uiPriority w:val="99"/>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4-Accent5">
    <w:name w:val="List Table 4 Accent 5"/>
    <w:basedOn w:val="TableNormal"/>
    <w:uiPriority w:val="99"/>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4-Accent6">
    <w:name w:val="List Table 4 Accent 6"/>
    <w:basedOn w:val="TableNormal"/>
    <w:uiPriority w:val="99"/>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5Dark-Accent1">
    <w:name w:val="List Table 5 Dark Accent 1"/>
    <w:basedOn w:val="TableNormal"/>
    <w:uiPriority w:val="99"/>
    <w:pPr>
      <w:spacing w:after="0"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Table5Dark-Accent2">
    <w:name w:val="List Table 5 Dark Accent 2"/>
    <w:basedOn w:val="TableNormal"/>
    <w:uiPriority w:val="99"/>
    <w:pPr>
      <w:spacing w:after="0"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Table5Dark-Accent3">
    <w:name w:val="List Table 5 Dark Accent 3"/>
    <w:basedOn w:val="TableNormal"/>
    <w:uiPriority w:val="99"/>
    <w:pPr>
      <w:spacing w:after="0"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Table5Dark-Accent4">
    <w:name w:val="List Table 5 Dark Accent 4"/>
    <w:basedOn w:val="TableNormal"/>
    <w:uiPriority w:val="99"/>
    <w:pPr>
      <w:spacing w:after="0"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Table5Dark-Accent5">
    <w:name w:val="List Table 5 Dark Accent 5"/>
    <w:basedOn w:val="TableNormal"/>
    <w:uiPriority w:val="99"/>
    <w:pPr>
      <w:spacing w:after="0"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Table5Dark-Accent6">
    <w:name w:val="List Table 5 Dark Accent 6"/>
    <w:basedOn w:val="TableNormal"/>
    <w:uiPriority w:val="99"/>
    <w:pPr>
      <w:spacing w:after="0"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Table6Colorful-Accent1">
    <w:name w:val="List Table 6 Colorful Accent 1"/>
    <w:basedOn w:val="TableNormal"/>
    <w:uiPriority w:val="99"/>
    <w:pPr>
      <w:spacing w:after="0"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6Colorful-Accent2">
    <w:name w:val="List Table 6 Colorful Accent 2"/>
    <w:basedOn w:val="TableNormal"/>
    <w:uiPriority w:val="99"/>
    <w:pPr>
      <w:spacing w:after="0"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6Colorful-Accent3">
    <w:name w:val="List Table 6 Colorful Accent 3"/>
    <w:basedOn w:val="TableNormal"/>
    <w:uiPriority w:val="99"/>
    <w:pPr>
      <w:spacing w:after="0"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6Colorful-Accent4">
    <w:name w:val="List Table 6 Colorful Accent 4"/>
    <w:basedOn w:val="TableNormal"/>
    <w:uiPriority w:val="99"/>
    <w:pPr>
      <w:spacing w:after="0"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6Colorful-Accent5">
    <w:name w:val="List Table 6 Colorful Accent 5"/>
    <w:basedOn w:val="TableNormal"/>
    <w:uiPriority w:val="99"/>
    <w:pPr>
      <w:spacing w:after="0"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6Colorful-Accent6">
    <w:name w:val="List Table 6 Colorful Accent 6"/>
    <w:basedOn w:val="TableNormal"/>
    <w:uiPriority w:val="99"/>
    <w:pPr>
      <w:spacing w:after="0"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Table7Colorful-Accent1">
    <w:name w:val="List Table 7 Colorful Accent 1"/>
    <w:basedOn w:val="TableNormal"/>
    <w:uiPriority w:val="99"/>
    <w:pPr>
      <w:spacing w:after="0"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000000"/>
          <w:left w:val="none" w:sz="0" w:space="0" w:color="000000"/>
          <w:bottom w:val="single" w:sz="4" w:space="0" w:color="4F81BD" w:themeColor="accent1"/>
          <w:right w:val="none" w:sz="0"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000000"/>
          <w:left w:val="none" w:sz="0" w:space="0" w:color="000000"/>
          <w:bottom w:val="none" w:sz="0"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000000"/>
          <w:left w:val="single" w:sz="4" w:space="0" w:color="4F81BD" w:themeColor="accent1"/>
          <w:bottom w:val="none" w:sz="0" w:space="0" w:color="000000"/>
          <w:right w:val="none" w:sz="0"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7Colorful-Accent2">
    <w:name w:val="List Table 7 Colorful Accent 2"/>
    <w:basedOn w:val="TableNormal"/>
    <w:uiPriority w:val="99"/>
    <w:pPr>
      <w:spacing w:after="0"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000000"/>
          <w:left w:val="none" w:sz="0" w:space="0" w:color="000000"/>
          <w:bottom w:val="single" w:sz="4" w:space="0" w:color="D99695" w:themeColor="accent2" w:themeTint="97"/>
          <w:right w:val="none" w:sz="0"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000000"/>
          <w:left w:val="none" w:sz="0" w:space="0" w:color="000000"/>
          <w:bottom w:val="none" w:sz="0"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000000"/>
          <w:left w:val="single" w:sz="4" w:space="0" w:color="D99695" w:themeColor="accent2" w:themeTint="97"/>
          <w:bottom w:val="none" w:sz="0" w:space="0" w:color="000000"/>
          <w:right w:val="none" w:sz="0"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7Colorful-Accent3">
    <w:name w:val="List Table 7 Colorful Accent 3"/>
    <w:basedOn w:val="TableNormal"/>
    <w:uiPriority w:val="99"/>
    <w:pPr>
      <w:spacing w:after="0"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000000"/>
          <w:left w:val="none" w:sz="0" w:space="0" w:color="000000"/>
          <w:bottom w:val="single" w:sz="4" w:space="0" w:color="C3D69B" w:themeColor="accent3" w:themeTint="98"/>
          <w:right w:val="none" w:sz="0"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000000"/>
          <w:left w:val="none" w:sz="0" w:space="0" w:color="000000"/>
          <w:bottom w:val="none" w:sz="0"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000000"/>
          <w:left w:val="single" w:sz="4" w:space="0" w:color="C3D69B" w:themeColor="accent3" w:themeTint="98"/>
          <w:bottom w:val="none" w:sz="0" w:space="0" w:color="000000"/>
          <w:right w:val="none" w:sz="0"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7Colorful-Accent4">
    <w:name w:val="List Table 7 Colorful Accent 4"/>
    <w:basedOn w:val="TableNormal"/>
    <w:uiPriority w:val="99"/>
    <w:pPr>
      <w:spacing w:after="0"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000000"/>
          <w:left w:val="none" w:sz="0" w:space="0" w:color="000000"/>
          <w:bottom w:val="single" w:sz="4" w:space="0" w:color="B2A1C6" w:themeColor="accent4" w:themeTint="9A"/>
          <w:right w:val="none" w:sz="0"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000000"/>
          <w:left w:val="none" w:sz="0" w:space="0" w:color="000000"/>
          <w:bottom w:val="none" w:sz="0"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000000"/>
          <w:left w:val="single" w:sz="4" w:space="0" w:color="B2A1C6" w:themeColor="accent4" w:themeTint="9A"/>
          <w:bottom w:val="none" w:sz="0" w:space="0" w:color="000000"/>
          <w:right w:val="none" w:sz="0"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7Colorful-Accent5">
    <w:name w:val="List Table 7 Colorful Accent 5"/>
    <w:basedOn w:val="TableNormal"/>
    <w:uiPriority w:val="99"/>
    <w:pPr>
      <w:spacing w:after="0"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000000"/>
          <w:left w:val="none" w:sz="0" w:space="0" w:color="000000"/>
          <w:bottom w:val="single" w:sz="4" w:space="0" w:color="92CCDC" w:themeColor="accent5" w:themeTint="9A"/>
          <w:right w:val="none" w:sz="0"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000000"/>
          <w:left w:val="none" w:sz="0" w:space="0" w:color="000000"/>
          <w:bottom w:val="none" w:sz="0"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000000"/>
          <w:left w:val="single" w:sz="4" w:space="0" w:color="92CCDC" w:themeColor="accent5" w:themeTint="9A"/>
          <w:bottom w:val="none" w:sz="0" w:space="0" w:color="000000"/>
          <w:right w:val="none" w:sz="0"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7Colorful-Accent6">
    <w:name w:val="List Table 7 Colorful Accent 6"/>
    <w:basedOn w:val="TableNormal"/>
    <w:uiPriority w:val="99"/>
    <w:pPr>
      <w:spacing w:after="0"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000000"/>
          <w:left w:val="none" w:sz="0" w:space="0" w:color="000000"/>
          <w:bottom w:val="single" w:sz="4" w:space="0" w:color="FAC090" w:themeColor="accent6" w:themeTint="98"/>
          <w:right w:val="none" w:sz="0"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000000"/>
          <w:left w:val="none" w:sz="0" w:space="0" w:color="000000"/>
          <w:bottom w:val="none" w:sz="0"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000000"/>
          <w:left w:val="single" w:sz="4" w:space="0" w:color="FAC090" w:themeColor="accent6" w:themeTint="98"/>
          <w:bottom w:val="none" w:sz="0" w:space="0" w:color="000000"/>
          <w:right w:val="none" w:sz="0"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paragraph" w:styleId="NoSpacing">
    <w:name w:val="No Spacing"/>
    <w:uiPriority w:val="1"/>
    <w:qFormat/>
    <w:pPr>
      <w:spacing w:after="0" w:line="240" w:lineRule="auto"/>
    </w:pPr>
  </w:style>
  <w:style w:type="paragraph" w:styleId="Title">
    <w:name w:val="Title"/>
    <w:basedOn w:val="Normal"/>
    <w:next w:val="Normal"/>
    <w:link w:val="TitleChar"/>
    <w:uiPriority w:val="10"/>
    <w:qFormat/>
    <w:pPr>
      <w:spacing w:before="300" w:after="200"/>
      <w:contextualSpacing/>
    </w:pPr>
    <w:rPr>
      <w:sz w:val="48"/>
      <w:szCs w:val="48"/>
    </w:rPr>
  </w:style>
  <w:style w:type="character" w:customStyle="1" w:styleId="TitleChar">
    <w:name w:val="Title Char"/>
    <w:basedOn w:val="DefaultParagraphFont"/>
    <w:link w:val="Title"/>
    <w:uiPriority w:val="10"/>
    <w:rPr>
      <w:sz w:val="48"/>
      <w:szCs w:val="48"/>
    </w:rPr>
  </w:style>
  <w:style w:type="paragraph" w:styleId="Subtitle">
    <w:name w:val="Subtitle"/>
    <w:basedOn w:val="Normal"/>
    <w:next w:val="Normal"/>
    <w:link w:val="SubtitleChar"/>
    <w:uiPriority w:val="11"/>
    <w:qFormat/>
    <w:pPr>
      <w:spacing w:before="200" w:after="200"/>
    </w:pPr>
    <w:rPr>
      <w:sz w:val="24"/>
      <w:szCs w:val="24"/>
    </w:rPr>
  </w:style>
  <w:style w:type="character" w:customStyle="1" w:styleId="SubtitleChar">
    <w:name w:val="Subtitle Char"/>
    <w:basedOn w:val="DefaultParagraphFont"/>
    <w:link w:val="Subtitle"/>
    <w:uiPriority w:val="11"/>
    <w:rPr>
      <w:sz w:val="24"/>
      <w:szCs w:val="24"/>
    </w:rPr>
  </w:style>
  <w:style w:type="paragraph" w:styleId="Quote">
    <w:name w:val="Quote"/>
    <w:basedOn w:val="Normal"/>
    <w:next w:val="Normal"/>
    <w:link w:val="QuoteChar"/>
    <w:uiPriority w:val="29"/>
    <w:qFormat/>
    <w:pPr>
      <w:ind w:left="720" w:right="720"/>
    </w:pPr>
    <w:rPr>
      <w:i/>
    </w:rPr>
  </w:style>
  <w:style w:type="character" w:customStyle="1" w:styleId="QuoteChar">
    <w:name w:val="Quote Char"/>
    <w:link w:val="Quote"/>
    <w:uiPriority w:val="29"/>
    <w:rPr>
      <w:i/>
    </w:rPr>
  </w:style>
  <w:style w:type="paragraph" w:styleId="IntenseQuote">
    <w:name w:val="Intense Quote"/>
    <w:basedOn w:val="Normal"/>
    <w:next w:val="Normal"/>
    <w:link w:val="IntenseQuote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
    <w:name w:val="Intense Quote Char"/>
    <w:link w:val="IntenseQuote"/>
    <w:uiPriority w:val="30"/>
    <w:rPr>
      <w:i/>
    </w:rPr>
  </w:style>
  <w:style w:type="paragraph" w:styleId="Header">
    <w:name w:val="header"/>
    <w:basedOn w:val="Normal"/>
    <w:link w:val="HeaderChar"/>
    <w:uiPriority w:val="99"/>
    <w:unhideWhenUsed/>
    <w:pPr>
      <w:tabs>
        <w:tab w:val="center" w:pos="7143"/>
        <w:tab w:val="right" w:pos="14287"/>
      </w:tabs>
      <w:spacing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1"/>
    <w:uiPriority w:val="99"/>
    <w:unhideWhenUsed/>
    <w:pPr>
      <w:tabs>
        <w:tab w:val="center" w:pos="7143"/>
        <w:tab w:val="right" w:pos="14287"/>
      </w:tabs>
      <w:spacing w:line="240" w:lineRule="auto"/>
    </w:pPr>
  </w:style>
  <w:style w:type="character" w:customStyle="1" w:styleId="FooterChar">
    <w:name w:val="Footer Char"/>
    <w:basedOn w:val="DefaultParagraphFont"/>
    <w:uiPriority w:val="99"/>
  </w:style>
  <w:style w:type="character" w:customStyle="1" w:styleId="FooterChar1">
    <w:name w:val="Footer Char1"/>
    <w:link w:val="Footer"/>
    <w:uiPriority w:val="99"/>
  </w:style>
  <w:style w:type="table" w:styleId="PlainTable1">
    <w:name w:val="Plain Table 1"/>
    <w:basedOn w:val="TableNormal"/>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ridTable2">
    <w:name w:val="Grid Table 2"/>
    <w:basedOn w:val="TableNormal"/>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3">
    <w:name w:val="Grid Table 3"/>
    <w:basedOn w:val="TableNormal"/>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4">
    <w:name w:val="Grid Table 4"/>
    <w:basedOn w:val="TableNormal"/>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5Dark">
    <w:name w:val="Grid Table 5 Dark"/>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4">
    <w:name w:val="Grid Table 5 Dark- Accent 4"/>
    <w:basedOn w:val="Table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ridTable6Colorful">
    <w:name w:val="Grid Table 6 Colorful"/>
    <w:basedOn w:val="TableNormal"/>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ridTable7Colorful">
    <w:name w:val="Grid Table 7 Colorful"/>
    <w:basedOn w:val="TableNormal"/>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000000"/>
          <w:left w:val="none" w:sz="0" w:space="0" w:color="000000"/>
          <w:bottom w:val="single" w:sz="4" w:space="0" w:color="7F7F7F" w:themeColor="text1" w:themeTint="80"/>
          <w:right w:val="none" w:sz="0"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000000"/>
          <w:left w:val="none" w:sz="0" w:space="0" w:color="000000"/>
          <w:bottom w:val="none" w:sz="0"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000000"/>
          <w:left w:val="single" w:sz="4" w:space="0" w:color="7F7F7F" w:themeColor="text1" w:themeTint="80"/>
          <w:bottom w:val="none" w:sz="0" w:space="0" w:color="000000"/>
          <w:right w:val="none" w:sz="0"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ListTable1Light">
    <w:name w:val="List Table 1 Light"/>
    <w:basedOn w:val="Table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Table2">
    <w:name w:val="List Table 2"/>
    <w:basedOn w:val="TableNormal"/>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3">
    <w:name w:val="List Table 3"/>
    <w:basedOn w:val="TableNormal"/>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Table4">
    <w:name w:val="List Table 4"/>
    <w:basedOn w:val="TableNormal"/>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5Dark">
    <w:name w:val="List Table 5 Dark"/>
    <w:basedOn w:val="TableNormal"/>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Table6Colorful">
    <w:name w:val="List Table 6 Colorful"/>
    <w:basedOn w:val="TableNormal"/>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Table7Colorful">
    <w:name w:val="List Table 7 Colorful"/>
    <w:basedOn w:val="TableNormal"/>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000000"/>
          <w:left w:val="none" w:sz="0" w:space="0" w:color="000000"/>
          <w:bottom w:val="single" w:sz="4" w:space="0" w:color="7F7F7F" w:themeColor="text1" w:themeTint="80"/>
          <w:right w:val="none" w:sz="0"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000000"/>
          <w:left w:val="none" w:sz="0" w:space="0" w:color="000000"/>
          <w:bottom w:val="none" w:sz="0"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000000"/>
          <w:left w:val="single" w:sz="4" w:space="0" w:color="7F7F7F" w:themeColor="text1" w:themeTint="80"/>
          <w:bottom w:val="none" w:sz="0" w:space="0" w:color="000000"/>
          <w:right w:val="none" w:sz="0"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ned-Accent">
    <w:name w:val="Lined - Accent"/>
    <w:basedOn w:val="TableNormal"/>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Normal"/>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Normal"/>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Normal"/>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Normal"/>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Normal"/>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Normal"/>
    <w:uiPriority w:val="99"/>
    <w:pPr>
      <w:spacing w:after="0" w:line="240" w:lineRule="auto"/>
    </w:pPr>
    <w:rPr>
      <w:color w:val="404040"/>
      <w:sz w:val="20"/>
      <w:szCs w:val="2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pPr>
      <w:spacing w:after="0" w:line="240" w:lineRule="auto"/>
    </w:pPr>
    <w:rPr>
      <w:color w:val="404040"/>
      <w:sz w:val="20"/>
      <w:szCs w:val="20"/>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Normal"/>
    <w:uiPriority w:val="99"/>
    <w:pPr>
      <w:spacing w:after="0" w:line="240" w:lineRule="auto"/>
    </w:pPr>
    <w:rPr>
      <w:color w:val="404040"/>
      <w:sz w:val="20"/>
      <w:szCs w:val="20"/>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Normal"/>
    <w:uiPriority w:val="99"/>
    <w:pPr>
      <w:spacing w:after="0" w:line="240" w:lineRule="auto"/>
    </w:pPr>
    <w:rPr>
      <w:color w:val="404040"/>
      <w:sz w:val="20"/>
      <w:szCs w:val="20"/>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Normal"/>
    <w:uiPriority w:val="99"/>
    <w:pPr>
      <w:spacing w:after="0" w:line="240" w:lineRule="auto"/>
    </w:pPr>
    <w:rPr>
      <w:color w:val="404040"/>
      <w:sz w:val="20"/>
      <w:szCs w:val="20"/>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Normal"/>
    <w:uiPriority w:val="99"/>
    <w:pPr>
      <w:spacing w:after="0" w:line="240" w:lineRule="auto"/>
    </w:pPr>
    <w:rPr>
      <w:color w:val="404040"/>
      <w:sz w:val="20"/>
      <w:szCs w:val="20"/>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Normal"/>
    <w:uiPriority w:val="99"/>
    <w:pPr>
      <w:spacing w:after="0" w:line="240" w:lineRule="auto"/>
    </w:pPr>
    <w:rPr>
      <w:color w:val="404040"/>
      <w:sz w:val="20"/>
      <w:szCs w:val="20"/>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Normal"/>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FootnoteText">
    <w:name w:val="footnote text"/>
    <w:basedOn w:val="Normal"/>
    <w:link w:val="FootnoteTextChar"/>
    <w:uiPriority w:val="99"/>
    <w:semiHidden/>
    <w:unhideWhenUsed/>
    <w:pPr>
      <w:spacing w:after="40" w:line="240" w:lineRule="auto"/>
    </w:pPr>
    <w:rPr>
      <w:sz w:val="18"/>
    </w:rPr>
  </w:style>
  <w:style w:type="character" w:customStyle="1" w:styleId="FootnoteTextChar">
    <w:name w:val="Footnote Text Char"/>
    <w:link w:val="FootnoteText"/>
    <w:uiPriority w:val="99"/>
    <w:rPr>
      <w:sz w:val="18"/>
    </w:rPr>
  </w:style>
  <w:style w:type="character" w:styleId="FootnoteReference">
    <w:name w:val="footnote reference"/>
    <w:basedOn w:val="DefaultParagraphFont"/>
    <w:uiPriority w:val="99"/>
    <w:unhideWhenUsed/>
    <w:qFormat/>
    <w:rPr>
      <w:vertAlign w:val="superscript"/>
    </w:rPr>
  </w:style>
  <w:style w:type="paragraph" w:styleId="EndnoteText">
    <w:name w:val="endnote text"/>
    <w:basedOn w:val="Normal"/>
    <w:link w:val="EndnoteTextChar"/>
    <w:uiPriority w:val="99"/>
    <w:semiHidden/>
    <w:unhideWhenUsed/>
    <w:pPr>
      <w:spacing w:line="240" w:lineRule="auto"/>
    </w:pPr>
  </w:style>
  <w:style w:type="character" w:customStyle="1" w:styleId="EndnoteTextChar">
    <w:name w:val="Endnote Text Char"/>
    <w:link w:val="EndnoteText"/>
    <w:uiPriority w:val="99"/>
    <w:rPr>
      <w:sz w:val="20"/>
    </w:rPr>
  </w:style>
  <w:style w:type="character" w:styleId="EndnoteReference">
    <w:name w:val="endnote reference"/>
    <w:basedOn w:val="DefaultParagraphFont"/>
    <w:uiPriority w:val="99"/>
    <w:semiHidden/>
    <w:unhideWhenUsed/>
    <w:rPr>
      <w:vertAlign w:val="superscript"/>
    </w:rPr>
  </w:style>
  <w:style w:type="paragraph" w:styleId="TOC1">
    <w:name w:val="toc 1"/>
    <w:basedOn w:val="Normal"/>
    <w:next w:val="Normal"/>
    <w:uiPriority w:val="39"/>
    <w:unhideWhenUsed/>
    <w:pPr>
      <w:spacing w:after="57"/>
    </w:pPr>
  </w:style>
  <w:style w:type="paragraph" w:styleId="TOC2">
    <w:name w:val="toc 2"/>
    <w:basedOn w:val="Normal"/>
    <w:next w:val="Normal"/>
    <w:uiPriority w:val="39"/>
    <w:unhideWhenUsed/>
    <w:pPr>
      <w:spacing w:after="57"/>
      <w:ind w:left="283"/>
    </w:pPr>
  </w:style>
  <w:style w:type="paragraph" w:styleId="TOC3">
    <w:name w:val="toc 3"/>
    <w:basedOn w:val="Normal"/>
    <w:next w:val="Normal"/>
    <w:uiPriority w:val="39"/>
    <w:unhideWhenUsed/>
    <w:pPr>
      <w:spacing w:after="57"/>
      <w:ind w:left="567"/>
    </w:pPr>
  </w:style>
  <w:style w:type="paragraph" w:styleId="TOC4">
    <w:name w:val="toc 4"/>
    <w:basedOn w:val="Normal"/>
    <w:next w:val="Normal"/>
    <w:uiPriority w:val="39"/>
    <w:unhideWhenUsed/>
    <w:pPr>
      <w:spacing w:after="57"/>
      <w:ind w:left="850"/>
    </w:pPr>
  </w:style>
  <w:style w:type="paragraph" w:styleId="TOC5">
    <w:name w:val="toc 5"/>
    <w:basedOn w:val="Normal"/>
    <w:next w:val="Normal"/>
    <w:uiPriority w:val="39"/>
    <w:unhideWhenUsed/>
    <w:pPr>
      <w:spacing w:after="57"/>
      <w:ind w:left="1134"/>
    </w:pPr>
  </w:style>
  <w:style w:type="paragraph" w:styleId="TOC6">
    <w:name w:val="toc 6"/>
    <w:basedOn w:val="Normal"/>
    <w:next w:val="Normal"/>
    <w:uiPriority w:val="39"/>
    <w:unhideWhenUsed/>
    <w:pPr>
      <w:spacing w:after="57"/>
      <w:ind w:left="1417"/>
    </w:pPr>
  </w:style>
  <w:style w:type="paragraph" w:styleId="TOC7">
    <w:name w:val="toc 7"/>
    <w:basedOn w:val="Normal"/>
    <w:next w:val="Normal"/>
    <w:uiPriority w:val="39"/>
    <w:unhideWhenUsed/>
    <w:pPr>
      <w:spacing w:after="57"/>
      <w:ind w:left="1701"/>
    </w:pPr>
  </w:style>
  <w:style w:type="paragraph" w:styleId="TOC8">
    <w:name w:val="toc 8"/>
    <w:basedOn w:val="Normal"/>
    <w:next w:val="Normal"/>
    <w:uiPriority w:val="39"/>
    <w:unhideWhenUsed/>
    <w:pPr>
      <w:spacing w:after="57"/>
      <w:ind w:left="1984"/>
    </w:pPr>
  </w:style>
  <w:style w:type="paragraph" w:styleId="TOC9">
    <w:name w:val="toc 9"/>
    <w:basedOn w:val="Normal"/>
    <w:next w:val="Normal"/>
    <w:uiPriority w:val="39"/>
    <w:unhideWhenUsed/>
    <w:pPr>
      <w:spacing w:after="57"/>
      <w:ind w:left="2268"/>
    </w:pPr>
  </w:style>
  <w:style w:type="paragraph" w:styleId="TOCHeading">
    <w:name w:val="TOC Heading"/>
    <w:uiPriority w:val="39"/>
    <w:unhideWhenUsed/>
    <w:qFormat/>
  </w:style>
  <w:style w:type="paragraph" w:customStyle="1" w:styleId="msonormal0">
    <w:name w:val="msonormal"/>
    <w:basedOn w:val="Normal"/>
    <w:pPr>
      <w:spacing w:before="100" w:beforeAutospacing="1" w:after="100" w:afterAutospacing="1" w:line="240" w:lineRule="auto"/>
    </w:pPr>
    <w:rPr>
      <w:rFonts w:eastAsia="Times New Roman" w:cs="Times New Roman"/>
      <w:sz w:val="24"/>
      <w:szCs w:val="24"/>
    </w:rPr>
  </w:style>
  <w:style w:type="paragraph" w:customStyle="1" w:styleId="paragraph">
    <w:name w:val="paragraph"/>
    <w:basedOn w:val="Normal"/>
    <w:pPr>
      <w:spacing w:before="100" w:beforeAutospacing="1" w:after="100" w:afterAutospacing="1" w:line="240" w:lineRule="auto"/>
    </w:pPr>
    <w:rPr>
      <w:rFonts w:eastAsia="Times New Roman" w:cs="Times New Roman"/>
      <w:sz w:val="24"/>
      <w:szCs w:val="24"/>
    </w:rPr>
  </w:style>
  <w:style w:type="character" w:customStyle="1" w:styleId="textrun">
    <w:name w:val="textrun"/>
    <w:basedOn w:val="DefaultParagraphFont"/>
  </w:style>
  <w:style w:type="character" w:customStyle="1" w:styleId="normaltextrun">
    <w:name w:val="normaltextrun"/>
    <w:basedOn w:val="DefaultParagraphFont"/>
  </w:style>
  <w:style w:type="character" w:customStyle="1" w:styleId="eop">
    <w:name w:val="eop"/>
    <w:basedOn w:val="DefaultParagraphFont"/>
  </w:style>
  <w:style w:type="character" w:customStyle="1" w:styleId="pagebreakblob">
    <w:name w:val="pagebreakblob"/>
    <w:basedOn w:val="DefaultParagraphFont"/>
  </w:style>
  <w:style w:type="character" w:customStyle="1" w:styleId="pagebreakborderspan">
    <w:name w:val="pagebreakborderspan"/>
    <w:basedOn w:val="DefaultParagraphFont"/>
  </w:style>
  <w:style w:type="character" w:customStyle="1" w:styleId="pagebreaktextspan">
    <w:name w:val="pagebreaktextspan"/>
    <w:basedOn w:val="DefaultParagraphFont"/>
  </w:style>
  <w:style w:type="character" w:customStyle="1" w:styleId="fieldrange">
    <w:name w:val="fieldrange"/>
    <w:basedOn w:val="DefaultParagraphFont"/>
  </w:style>
  <w:style w:type="character" w:customStyle="1" w:styleId="contentcontrol">
    <w:name w:val="contentcontrol"/>
    <w:basedOn w:val="DefaultParagraphFont"/>
  </w:style>
  <w:style w:type="character" w:customStyle="1" w:styleId="contentcontrolboundarysink">
    <w:name w:val="contentcontrolboundarysink"/>
    <w:basedOn w:val="DefaultParagraphFont"/>
  </w:style>
  <w:style w:type="character" w:customStyle="1" w:styleId="wacimagecontainer">
    <w:name w:val="wacimagecontainer"/>
    <w:basedOn w:val="DefaultParagraphFont"/>
  </w:style>
  <w:style w:type="paragraph" w:styleId="BalloonText">
    <w:name w:val="Balloon Text"/>
    <w:basedOn w:val="Normal"/>
    <w:link w:val="BalloonTextChar"/>
    <w:uiPriority w:val="99"/>
    <w:semiHidden/>
    <w:unhideWhenUse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paragraph" w:styleId="Caption">
    <w:name w:val="caption"/>
    <w:basedOn w:val="Normal"/>
    <w:next w:val="Normal"/>
    <w:link w:val="CaptionChar"/>
    <w:uiPriority w:val="35"/>
    <w:qFormat/>
    <w:pPr>
      <w:spacing w:line="240" w:lineRule="auto"/>
    </w:pPr>
    <w:rPr>
      <w:rFonts w:eastAsia="Times New Roman" w:cs="Times New Roman"/>
      <w:b/>
      <w:sz w:val="24"/>
      <w:szCs w:val="24"/>
    </w:rPr>
  </w:style>
  <w:style w:type="character" w:customStyle="1" w:styleId="Heading1Char">
    <w:name w:val="Heading 1 Char"/>
    <w:basedOn w:val="DefaultParagraphFont"/>
    <w:link w:val="Heading1"/>
    <w:uiPriority w:val="9"/>
    <w:rPr>
      <w:rFonts w:asciiTheme="majorHAnsi" w:eastAsiaTheme="majorEastAsia" w:hAnsiTheme="majorHAnsi" w:cstheme="majorBidi"/>
      <w:sz w:val="32"/>
      <w:szCs w:val="32"/>
    </w:rPr>
  </w:style>
  <w:style w:type="paragraph" w:customStyle="1" w:styleId="CitaviBibliographyEntry">
    <w:name w:val="Citavi Bibliography Entry"/>
    <w:basedOn w:val="Normal"/>
    <w:link w:val="CitaviBibliographyEntryZchn"/>
    <w:pPr>
      <w:tabs>
        <w:tab w:val="left" w:pos="283"/>
      </w:tabs>
      <w:spacing w:after="60"/>
      <w:ind w:left="283" w:hanging="283"/>
    </w:pPr>
  </w:style>
  <w:style w:type="character" w:customStyle="1" w:styleId="CitaviBibliographyEntryZchn">
    <w:name w:val="Citavi Bibliography Entry Zchn"/>
    <w:basedOn w:val="DefaultParagraphFont"/>
    <w:link w:val="CitaviBibliographyEntry"/>
    <w:rPr>
      <w:rFonts w:ascii="Times New Roman" w:hAnsi="Times New Roman"/>
      <w:sz w:val="20"/>
    </w:rPr>
  </w:style>
  <w:style w:type="paragraph" w:customStyle="1" w:styleId="CitaviBibliographyHeading">
    <w:name w:val="Citavi Bibliography Heading"/>
    <w:basedOn w:val="Heading1"/>
    <w:link w:val="CitaviBibliographyHeadingZchn"/>
  </w:style>
  <w:style w:type="character" w:customStyle="1" w:styleId="CitaviBibliographyHeadingZchn">
    <w:name w:val="Citavi Bibliography Heading Zchn"/>
    <w:basedOn w:val="DefaultParagraphFont"/>
    <w:link w:val="CitaviBibliographyHeading"/>
    <w:rPr>
      <w:rFonts w:asciiTheme="majorHAnsi" w:eastAsiaTheme="majorEastAsia" w:hAnsiTheme="majorHAnsi" w:cstheme="majorBidi"/>
      <w:sz w:val="32"/>
      <w:szCs w:val="32"/>
    </w:rPr>
  </w:style>
  <w:style w:type="paragraph" w:customStyle="1" w:styleId="CitaviChapterBibliographyHeading">
    <w:name w:val="Citavi Chapter Bibliography Heading"/>
    <w:basedOn w:val="Heading2"/>
    <w:link w:val="CitaviChapterBibliographyHeadingZchn"/>
    <w:uiPriority w:val="99"/>
  </w:style>
  <w:style w:type="character" w:customStyle="1" w:styleId="CitaviChapterBibliographyHeadingZchn">
    <w:name w:val="Citavi Chapter Bibliography Heading Zchn"/>
    <w:basedOn w:val="DefaultParagraphFont"/>
    <w:link w:val="CitaviChapterBibliographyHeading"/>
    <w:uiPriority w:val="99"/>
    <w:rPr>
      <w:rFonts w:asciiTheme="majorHAnsi" w:eastAsiaTheme="majorEastAsia" w:hAnsiTheme="majorHAnsi" w:cstheme="majorBidi"/>
      <w:color w:val="365F91" w:themeColor="accent1" w:themeShade="BF"/>
      <w:sz w:val="26"/>
      <w:szCs w:val="26"/>
    </w:rPr>
  </w:style>
  <w:style w:type="character" w:customStyle="1" w:styleId="Heading2Char">
    <w:name w:val="Heading 2 Char"/>
    <w:basedOn w:val="DefaultParagraphFont"/>
    <w:link w:val="Heading2"/>
    <w:uiPriority w:val="9"/>
    <w:rPr>
      <w:rFonts w:asciiTheme="majorHAnsi" w:eastAsiaTheme="majorEastAsia" w:hAnsiTheme="majorHAnsi" w:cstheme="majorBidi"/>
      <w:sz w:val="26"/>
      <w:szCs w:val="26"/>
    </w:rPr>
  </w:style>
  <w:style w:type="paragraph" w:customStyle="1" w:styleId="CitaviBibliographySubheading1">
    <w:name w:val="Citavi Bibliography Subheading 1"/>
    <w:basedOn w:val="Heading2"/>
    <w:link w:val="CitaviBibliographySubheading1Zchn"/>
    <w:uiPriority w:val="99"/>
    <w:pPr>
      <w:spacing w:line="240" w:lineRule="auto"/>
      <w:ind w:left="330" w:firstLine="705"/>
      <w:outlineLvl w:val="9"/>
    </w:pPr>
    <w:rPr>
      <w:rFonts w:ascii="Times New Roman" w:eastAsia="Times New Roman" w:hAnsi="Times New Roman" w:cs="Times New Roman"/>
      <w:sz w:val="24"/>
      <w:szCs w:val="24"/>
    </w:rPr>
  </w:style>
  <w:style w:type="character" w:customStyle="1" w:styleId="CitaviBibliographySubheading1Zchn">
    <w:name w:val="Citavi Bibliography Subheading 1 Zchn"/>
    <w:basedOn w:val="DefaultParagraphFont"/>
    <w:link w:val="CitaviBibliographySubheading1"/>
    <w:uiPriority w:val="99"/>
    <w:rPr>
      <w:rFonts w:ascii="Times New Roman" w:eastAsia="Times New Roman" w:hAnsi="Times New Roman" w:cs="Times New Roman"/>
      <w:color w:val="365F91" w:themeColor="accent1" w:themeShade="BF"/>
      <w:sz w:val="24"/>
      <w:szCs w:val="24"/>
    </w:rPr>
  </w:style>
  <w:style w:type="paragraph" w:customStyle="1" w:styleId="CitaviBibliographySubheading2">
    <w:name w:val="Citavi Bibliography Subheading 2"/>
    <w:basedOn w:val="Heading3"/>
    <w:link w:val="CitaviBibliographySubheading2Zchn"/>
    <w:uiPriority w:val="99"/>
    <w:pPr>
      <w:spacing w:line="240" w:lineRule="auto"/>
      <w:ind w:left="330" w:firstLine="705"/>
      <w:outlineLvl w:val="9"/>
    </w:pPr>
    <w:rPr>
      <w:rFonts w:ascii="Times New Roman" w:eastAsia="Times New Roman" w:hAnsi="Times New Roman" w:cs="Times New Roman"/>
    </w:rPr>
  </w:style>
  <w:style w:type="character" w:customStyle="1" w:styleId="CitaviBibliographySubheading2Zchn">
    <w:name w:val="Citavi Bibliography Subheading 2 Zchn"/>
    <w:basedOn w:val="DefaultParagraphFont"/>
    <w:link w:val="CitaviBibliographySubheading2"/>
    <w:uiPriority w:val="99"/>
    <w:rPr>
      <w:rFonts w:ascii="Times New Roman" w:eastAsia="Times New Roman" w:hAnsi="Times New Roman" w:cs="Times New Roman"/>
      <w:color w:val="243F60" w:themeColor="accent1" w:themeShade="7F"/>
      <w:sz w:val="24"/>
      <w:szCs w:val="24"/>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243F60" w:themeColor="accent1" w:themeShade="7F"/>
      <w:sz w:val="24"/>
      <w:szCs w:val="24"/>
    </w:rPr>
  </w:style>
  <w:style w:type="paragraph" w:customStyle="1" w:styleId="CitaviBibliographySubheading3">
    <w:name w:val="Citavi Bibliography Subheading 3"/>
    <w:basedOn w:val="Heading4"/>
    <w:link w:val="CitaviBibliographySubheading3Zchn"/>
    <w:uiPriority w:val="99"/>
    <w:pPr>
      <w:spacing w:line="240" w:lineRule="auto"/>
      <w:ind w:left="330" w:firstLine="705"/>
      <w:outlineLvl w:val="9"/>
    </w:pPr>
    <w:rPr>
      <w:rFonts w:ascii="Times New Roman" w:eastAsia="Times New Roman" w:hAnsi="Times New Roman" w:cs="Times New Roman"/>
      <w:sz w:val="24"/>
      <w:szCs w:val="24"/>
    </w:rPr>
  </w:style>
  <w:style w:type="character" w:customStyle="1" w:styleId="CitaviBibliographySubheading3Zchn">
    <w:name w:val="Citavi Bibliography Subheading 3 Zchn"/>
    <w:basedOn w:val="DefaultParagraphFont"/>
    <w:link w:val="CitaviBibliographySubheading3"/>
    <w:uiPriority w:val="99"/>
    <w:rPr>
      <w:rFonts w:ascii="Times New Roman" w:eastAsia="Times New Roman" w:hAnsi="Times New Roman" w:cs="Times New Roman"/>
      <w:i/>
      <w:iCs/>
      <w:color w:val="365F91" w:themeColor="accent1" w:themeShade="BF"/>
      <w:sz w:val="24"/>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365F91" w:themeColor="accent1" w:themeShade="BF"/>
    </w:rPr>
  </w:style>
  <w:style w:type="paragraph" w:customStyle="1" w:styleId="CitaviBibliographySubheading4">
    <w:name w:val="Citavi Bibliography Subheading 4"/>
    <w:basedOn w:val="Heading5"/>
    <w:link w:val="CitaviBibliographySubheading4Zchn"/>
    <w:uiPriority w:val="99"/>
    <w:pPr>
      <w:spacing w:line="240" w:lineRule="auto"/>
      <w:ind w:left="330" w:firstLine="705"/>
      <w:outlineLvl w:val="9"/>
    </w:pPr>
    <w:rPr>
      <w:rFonts w:ascii="Times New Roman" w:eastAsia="Times New Roman" w:hAnsi="Times New Roman" w:cs="Times New Roman"/>
      <w:sz w:val="24"/>
      <w:szCs w:val="24"/>
    </w:rPr>
  </w:style>
  <w:style w:type="character" w:customStyle="1" w:styleId="CitaviBibliographySubheading4Zchn">
    <w:name w:val="Citavi Bibliography Subheading 4 Zchn"/>
    <w:basedOn w:val="DefaultParagraphFont"/>
    <w:link w:val="CitaviBibliographySubheading4"/>
    <w:uiPriority w:val="99"/>
    <w:rPr>
      <w:rFonts w:ascii="Times New Roman" w:eastAsia="Times New Roman" w:hAnsi="Times New Roman" w:cs="Times New Roman"/>
      <w:color w:val="365F91" w:themeColor="accent1" w:themeShade="BF"/>
      <w:sz w:val="24"/>
      <w:szCs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365F91" w:themeColor="accent1" w:themeShade="BF"/>
    </w:rPr>
  </w:style>
  <w:style w:type="paragraph" w:customStyle="1" w:styleId="CitaviBibliographySubheading5">
    <w:name w:val="Citavi Bibliography Subheading 5"/>
    <w:basedOn w:val="Heading6"/>
    <w:link w:val="CitaviBibliographySubheading5Zchn"/>
    <w:uiPriority w:val="99"/>
    <w:pPr>
      <w:spacing w:line="240" w:lineRule="auto"/>
      <w:ind w:left="330" w:firstLine="705"/>
      <w:outlineLvl w:val="9"/>
    </w:pPr>
    <w:rPr>
      <w:rFonts w:ascii="Times New Roman" w:eastAsia="Times New Roman" w:hAnsi="Times New Roman" w:cs="Times New Roman"/>
      <w:sz w:val="24"/>
      <w:szCs w:val="24"/>
    </w:rPr>
  </w:style>
  <w:style w:type="character" w:customStyle="1" w:styleId="CitaviBibliographySubheading5Zchn">
    <w:name w:val="Citavi Bibliography Subheading 5 Zchn"/>
    <w:basedOn w:val="DefaultParagraphFont"/>
    <w:link w:val="CitaviBibliographySubheading5"/>
    <w:uiPriority w:val="99"/>
    <w:rPr>
      <w:rFonts w:ascii="Times New Roman" w:eastAsia="Times New Roman" w:hAnsi="Times New Roman" w:cs="Times New Roman"/>
      <w:color w:val="243F60" w:themeColor="accent1" w:themeShade="7F"/>
      <w:sz w:val="24"/>
      <w:szCs w:val="24"/>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243F60" w:themeColor="accent1" w:themeShade="7F"/>
    </w:rPr>
  </w:style>
  <w:style w:type="paragraph" w:customStyle="1" w:styleId="CitaviBibliographySubheading6">
    <w:name w:val="Citavi Bibliography Subheading 6"/>
    <w:basedOn w:val="Heading7"/>
    <w:link w:val="CitaviBibliographySubheading6Zchn"/>
    <w:uiPriority w:val="99"/>
    <w:pPr>
      <w:spacing w:line="240" w:lineRule="auto"/>
      <w:ind w:left="330" w:firstLine="705"/>
      <w:outlineLvl w:val="9"/>
    </w:pPr>
    <w:rPr>
      <w:rFonts w:ascii="Times New Roman" w:eastAsia="Times New Roman" w:hAnsi="Times New Roman" w:cs="Times New Roman"/>
      <w:sz w:val="24"/>
      <w:szCs w:val="24"/>
    </w:rPr>
  </w:style>
  <w:style w:type="character" w:customStyle="1" w:styleId="CitaviBibliographySubheading6Zchn">
    <w:name w:val="Citavi Bibliography Subheading 6 Zchn"/>
    <w:basedOn w:val="DefaultParagraphFont"/>
    <w:link w:val="CitaviBibliographySubheading6"/>
    <w:uiPriority w:val="99"/>
    <w:rPr>
      <w:rFonts w:ascii="Times New Roman" w:eastAsia="Times New Roman" w:hAnsi="Times New Roman" w:cs="Times New Roman"/>
      <w:i/>
      <w:iCs/>
      <w:color w:val="243F60" w:themeColor="accent1" w:themeShade="7F"/>
      <w:sz w:val="24"/>
      <w:szCs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243F60" w:themeColor="accent1" w:themeShade="7F"/>
    </w:rPr>
  </w:style>
  <w:style w:type="paragraph" w:customStyle="1" w:styleId="CitaviBibliographySubheading7">
    <w:name w:val="Citavi Bibliography Subheading 7"/>
    <w:basedOn w:val="Heading8"/>
    <w:link w:val="CitaviBibliographySubheading7Zchn"/>
    <w:uiPriority w:val="99"/>
    <w:pPr>
      <w:spacing w:line="240" w:lineRule="auto"/>
      <w:ind w:left="330" w:firstLine="705"/>
      <w:outlineLvl w:val="9"/>
    </w:pPr>
    <w:rPr>
      <w:rFonts w:ascii="Times New Roman" w:eastAsia="Times New Roman" w:hAnsi="Times New Roman" w:cs="Times New Roman"/>
      <w:sz w:val="24"/>
      <w:szCs w:val="24"/>
    </w:rPr>
  </w:style>
  <w:style w:type="character" w:customStyle="1" w:styleId="CitaviBibliographySubheading7Zchn">
    <w:name w:val="Citavi Bibliography Subheading 7 Zchn"/>
    <w:basedOn w:val="DefaultParagraphFont"/>
    <w:link w:val="CitaviBibliographySubheading7"/>
    <w:uiPriority w:val="99"/>
    <w:rPr>
      <w:rFonts w:ascii="Times New Roman" w:eastAsia="Times New Roman" w:hAnsi="Times New Roman" w:cs="Times New Roman"/>
      <w:color w:val="272727" w:themeColor="text1" w:themeTint="D8"/>
      <w:sz w:val="24"/>
      <w:szCs w:val="24"/>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Heading9"/>
    <w:link w:val="CitaviBibliographySubheading8Zchn"/>
    <w:uiPriority w:val="99"/>
    <w:pPr>
      <w:spacing w:line="240" w:lineRule="auto"/>
      <w:ind w:left="330" w:firstLine="705"/>
      <w:outlineLvl w:val="9"/>
    </w:pPr>
    <w:rPr>
      <w:rFonts w:ascii="Times New Roman" w:eastAsia="Times New Roman" w:hAnsi="Times New Roman" w:cs="Times New Roman"/>
      <w:sz w:val="24"/>
      <w:szCs w:val="24"/>
    </w:rPr>
  </w:style>
  <w:style w:type="character" w:customStyle="1" w:styleId="CitaviBibliographySubheading8Zchn">
    <w:name w:val="Citavi Bibliography Subheading 8 Zchn"/>
    <w:basedOn w:val="DefaultParagraphFont"/>
    <w:link w:val="CitaviBibliographySubheading8"/>
    <w:uiPriority w:val="99"/>
    <w:rPr>
      <w:rFonts w:ascii="Times New Roman" w:eastAsia="Times New Roman" w:hAnsi="Times New Roman" w:cs="Times New Roman"/>
      <w:i/>
      <w:iCs/>
      <w:color w:val="272727" w:themeColor="text1" w:themeTint="D8"/>
      <w:sz w:val="24"/>
      <w:szCs w:val="24"/>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72727" w:themeColor="text1" w:themeTint="D8"/>
      <w:sz w:val="21"/>
      <w:szCs w:val="21"/>
    </w:rPr>
  </w:style>
  <w:style w:type="character" w:styleId="PlaceholderText">
    <w:name w:val="Placeholder Text"/>
    <w:basedOn w:val="DefaultParagraphFont"/>
    <w:uiPriority w:val="99"/>
    <w:semiHidden/>
    <w:rPr>
      <w:color w:val="808080"/>
    </w:rPr>
  </w:style>
  <w:style w:type="table" w:styleId="TableGrid">
    <w:name w:val="Table Grid"/>
    <w:basedOn w:val="TableNormal"/>
    <w:uiPriority w:val="59"/>
    <w:pPr>
      <w:spacing w:after="0" w:line="240" w:lineRule="auto"/>
    </w:pPr>
    <w:rPr>
      <w:rFonts w:ascii="Times New Roman" w:eastAsia="Times New Roman" w:hAnsi="Times New Roman" w:cs="Times New Roman"/>
      <w:sz w:val="20"/>
      <w:szCs w:val="20"/>
    </w:rPr>
    <w:tblPr/>
  </w:style>
  <w:style w:type="paragraph" w:styleId="TableofFigures">
    <w:name w:val="table of figures"/>
    <w:basedOn w:val="Normal"/>
    <w:next w:val="Normal"/>
    <w:uiPriority w:val="99"/>
    <w:unhideWhenUsed/>
  </w:style>
  <w:style w:type="character" w:styleId="Hyperlink">
    <w:name w:val="Hyperlink"/>
    <w:basedOn w:val="DefaultParagraphFont"/>
    <w:uiPriority w:val="99"/>
    <w:unhideWhenUsed/>
    <w:rPr>
      <w:color w:val="0000FF" w:themeColor="hyperlink"/>
      <w:u w:val="single"/>
    </w:rPr>
  </w:style>
  <w:style w:type="paragraph" w:styleId="ListParagraph">
    <w:name w:val="List Paragraph"/>
    <w:basedOn w:val="Normal"/>
    <w:uiPriority w:val="34"/>
    <w:qFormat/>
    <w:pPr>
      <w:ind w:left="720"/>
      <w:contextualSpacing/>
    </w:pPr>
  </w:style>
  <w:style w:type="character" w:styleId="UnresolvedMention">
    <w:name w:val="Unresolved Mention"/>
    <w:basedOn w:val="DefaultParagraphFont"/>
    <w:uiPriority w:val="99"/>
    <w:semiHidden/>
    <w:unhideWhenUsed/>
    <w:rPr>
      <w:color w:val="605E5C"/>
      <w:shd w:val="clear" w:color="auto" w:fill="E1DFDD"/>
    </w:rPr>
  </w:style>
  <w:style w:type="paragraph" w:styleId="Bibliography">
    <w:name w:val="Bibliography"/>
    <w:basedOn w:val="Normal"/>
    <w:next w:val="Normal"/>
    <w:uiPriority w:val="37"/>
    <w:unhideWhenUsed/>
    <w:pPr>
      <w:spacing w:line="240" w:lineRule="auto"/>
      <w:ind w:left="720" w:hanging="720"/>
    </w:pPr>
  </w:style>
  <w:style w:type="paragraph" w:styleId="NormalWeb">
    <w:name w:val="Normal (Web)"/>
    <w:basedOn w:val="Normal"/>
    <w:uiPriority w:val="99"/>
    <w:semiHidden/>
    <w:unhideWhenUsed/>
    <w:rPr>
      <w:rFonts w:cs="Times New Roman"/>
      <w:sz w:val="24"/>
      <w:szCs w:val="24"/>
    </w:rPr>
  </w:style>
  <w:style w:type="character" w:customStyle="1" w:styleId="CaptionChar">
    <w:name w:val="Caption Char"/>
    <w:basedOn w:val="DefaultParagraphFont"/>
    <w:link w:val="Caption"/>
    <w:uiPriority w:val="35"/>
    <w:rPr>
      <w:rFonts w:ascii="Times New Roman" w:eastAsia="Times New Roman" w:hAnsi="Times New Roman" w:cs="Times New Roman"/>
      <w:b/>
      <w:sz w:val="24"/>
      <w:szCs w:val="24"/>
    </w:rPr>
  </w:style>
  <w:style w:type="paragraph" w:customStyle="1" w:styleId="FigureCaptionssection1">
    <w:name w:val="FigureCaptions_section1"/>
    <w:basedOn w:val="Caption"/>
    <w:link w:val="FigureCaptionssection1Char"/>
    <w:qFormat/>
    <w:pPr>
      <w:spacing w:after="200" w:line="360" w:lineRule="auto"/>
    </w:pPr>
    <w:rPr>
      <w:b w:val="0"/>
      <w:i/>
      <w:iCs/>
      <w:color w:val="1F497D" w:themeColor="text2"/>
      <w:sz w:val="20"/>
      <w:szCs w:val="18"/>
      <w:lang w:val="en-GB"/>
    </w:rPr>
  </w:style>
  <w:style w:type="character" w:customStyle="1" w:styleId="FigureCaptionssection1Char">
    <w:name w:val="FigureCaptions_section1 Char"/>
    <w:basedOn w:val="CaptionChar"/>
    <w:link w:val="FigureCaptionssection1"/>
    <w:rPr>
      <w:rFonts w:ascii="Times New Roman" w:eastAsia="Times New Roman" w:hAnsi="Times New Roman" w:cs="Times New Roman"/>
      <w:b w:val="0"/>
      <w:i/>
      <w:iCs/>
      <w:color w:val="1F497D" w:themeColor="text2"/>
      <w:sz w:val="20"/>
      <w:szCs w:val="18"/>
      <w:lang w:val="en-GB"/>
    </w:rPr>
  </w:style>
  <w:style w:type="paragraph" w:customStyle="1" w:styleId="ELEVATEText">
    <w:name w:val="ELEVATE Text"/>
    <w:basedOn w:val="Normal"/>
    <w:link w:val="ELEVATETextChar"/>
    <w:qFormat/>
    <w:pPr>
      <w:spacing w:before="40" w:after="100" w:afterAutospacing="1" w:line="276" w:lineRule="auto"/>
    </w:pPr>
    <w:rPr>
      <w:sz w:val="24"/>
      <w:szCs w:val="24"/>
      <w:lang w:val="en-GB"/>
    </w:rPr>
  </w:style>
  <w:style w:type="character" w:customStyle="1" w:styleId="ELEVATETextChar">
    <w:name w:val="ELEVATE Text Char"/>
    <w:basedOn w:val="DefaultParagraphFont"/>
    <w:link w:val="ELEVATEText"/>
    <w:rPr>
      <w:rFonts w:ascii="Times New Roman" w:hAnsi="Times New Roman"/>
      <w:sz w:val="24"/>
      <w:szCs w:val="24"/>
      <w:lang w:val="en-GB"/>
    </w:rPr>
  </w:style>
  <w:style w:type="paragraph" w:styleId="Revision">
    <w:name w:val="Revision"/>
    <w:hidden/>
    <w:uiPriority w:val="99"/>
    <w:semiHidden/>
    <w:rsid w:val="00051DDE"/>
    <w:pPr>
      <w:spacing w:after="0" w:line="240" w:lineRule="auto"/>
    </w:pPr>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image" Target="media/image30.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10.png"/><Relationship Id="rId2" Type="http://schemas.openxmlformats.org/officeDocument/2006/relationships/numbering" Target="numbering.xm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footer" Target="footer4.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Arial"/>
        <a:cs typeface="Arial"/>
      </a:majorFont>
      <a:minorFont>
        <a:latin typeface="Calibri"/>
        <a:ea typeface="Arial"/>
        <a:cs typeface="Arial"/>
      </a:minorFont>
    </a:fontScheme>
    <a:fmtScheme name="Larissa">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C6557F-5091-499B-92FB-7E2B4312F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20882</Words>
  <Characters>119033</Characters>
  <Application>Microsoft Office Word</Application>
  <DocSecurity>0</DocSecurity>
  <Lines>991</Lines>
  <Paragraphs>279</Paragraphs>
  <ScaleCrop>false</ScaleCrop>
  <Company/>
  <LinksUpToDate>false</LinksUpToDate>
  <CharactersWithSpaces>139636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rmandaroux@escpeurope.eu</dc:creator>
  <cp:keywords/>
  <dc:description/>
  <cp:lastModifiedBy>Juliet   Sabayo</cp:lastModifiedBy>
  <cp:revision>2</cp:revision>
  <dcterms:created xsi:type="dcterms:W3CDTF">2026-06-17T10:39:00Z</dcterms:created>
  <dcterms:modified xsi:type="dcterms:W3CDTF">2026-06-17T10:39:00Z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A Stock Market Perspective</vt:lpwstr>
  </property>
  <property fmtid="{D5CDD505-2E9C-101B-9397-08002B2CF9AE}" pid="3" name="CitaviDocumentProperty_8">
    <vt:lpwstr>C:\Users\RMandaroux\Documents\Citavi 6\Projects\A Stock Market Perspective\A Stock Market Perspective.ctv6</vt:lpwstr>
  </property>
  <property fmtid="{D5CDD505-2E9C-101B-9397-08002B2CF9AE}" pid="4" name="CitaviDocumentProperty_6">
    <vt:lpwstr>True</vt:lpwstr>
  </property>
  <property fmtid="{D5CDD505-2E9C-101B-9397-08002B2CF9AE}" pid="5" name="CitaviDocumentProperty_1">
    <vt:lpwstr>6.4.0.35</vt:lpwstr>
  </property>
  <property fmtid="{D5CDD505-2E9C-101B-9397-08002B2CF9AE}" pid="6" name="CitaviDocumentProperty_0">
    <vt:lpwstr>460478c1-de27-46ea-a7a8-35a2dc01fef9</vt:lpwstr>
  </property>
  <property fmtid="{D5CDD505-2E9C-101B-9397-08002B2CF9AE}" pid="7" name="ZOTERO_PREF_1">
    <vt:lpwstr>&lt;data data-version="3" zotero-version="6.0.36"&gt;&lt;session id="kPW6bSGE"/&gt;&lt;style id="http://www.zotero.org/styles/chicago-author-date" locale="en-US" hasBibliography="1" bibliographyStyleHasBeenSet="1"/&gt;&lt;prefs&gt;&lt;pref name="fieldType" value="Field"/&gt;&lt;/prefs&gt;&lt;/</vt:lpwstr>
  </property>
  <property fmtid="{D5CDD505-2E9C-101B-9397-08002B2CF9AE}" pid="8" name="ZOTERO_PREF_2">
    <vt:lpwstr>data&gt;</vt:lpwstr>
  </property>
</Properties>
</file>